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7D84F1" w14:textId="5F71F797" w:rsidR="00BB0803" w:rsidRDefault="000B10B0">
      <w:pPr>
        <w:pStyle w:val="a4"/>
        <w:snapToGrid w:val="0"/>
        <w:spacing w:line="500" w:lineRule="exact"/>
        <w:jc w:val="center"/>
      </w:pPr>
      <w:r w:rsidRPr="000B10B0">
        <w:rPr>
          <w:rFonts w:ascii="Times New Roman" w:hAnsi="Times New Roman"/>
          <w:b/>
          <w:sz w:val="32"/>
        </w:rPr>
        <w:t xml:space="preserve">Appendix </w:t>
      </w:r>
      <w:r w:rsidRPr="000B10B0">
        <w:rPr>
          <w:rFonts w:ascii="Times New Roman" w:hAnsi="Times New Roman"/>
          <w:b/>
          <w:sz w:val="32"/>
        </w:rPr>
        <w:tab/>
        <w:t>Red Flags for Transactions Suspected to Involve Money Laundering or Terrorism Financing or Proliferation Financing</w:t>
      </w:r>
    </w:p>
    <w:p w14:paraId="5661F056" w14:textId="77777777" w:rsidR="00BB0803" w:rsidRDefault="00BB0803">
      <w:pPr>
        <w:pStyle w:val="a4"/>
        <w:snapToGrid w:val="0"/>
        <w:spacing w:line="500" w:lineRule="exact"/>
        <w:jc w:val="center"/>
        <w:rPr>
          <w:rFonts w:ascii="Times New Roman" w:eastAsia="新細明體" w:hAnsi="Times New Roman"/>
          <w:b/>
          <w:sz w:val="28"/>
          <w:szCs w:val="28"/>
        </w:rPr>
      </w:pPr>
    </w:p>
    <w:p w14:paraId="064DE478" w14:textId="2E8B17F5" w:rsidR="00BB0803" w:rsidRDefault="00EF0077">
      <w:pPr>
        <w:spacing w:before="90" w:after="90" w:line="240" w:lineRule="exact"/>
        <w:jc w:val="right"/>
        <w:rPr>
          <w:rFonts w:hint="eastAsia"/>
          <w:lang w:eastAsia="zh-TW"/>
        </w:rPr>
      </w:pPr>
      <w:r>
        <w:rPr>
          <w:color w:val="000000"/>
          <w:sz w:val="20"/>
        </w:rPr>
        <w:t>Financial Supervisory Commission</w:t>
      </w:r>
      <w:r>
        <w:rPr>
          <w:color w:val="000000"/>
          <w:sz w:val="20"/>
        </w:rPr>
        <w:tab/>
      </w:r>
      <w:r w:rsidR="00F814B8">
        <w:rPr>
          <w:rFonts w:hint="eastAsia"/>
          <w:color w:val="000000"/>
          <w:sz w:val="20"/>
          <w:lang w:eastAsia="zh-TW"/>
        </w:rPr>
        <w:t>January</w:t>
      </w:r>
      <w:r>
        <w:rPr>
          <w:color w:val="000000"/>
          <w:sz w:val="20"/>
        </w:rPr>
        <w:t xml:space="preserve"> </w:t>
      </w:r>
      <w:r w:rsidR="00F814B8">
        <w:rPr>
          <w:rFonts w:hint="eastAsia"/>
          <w:color w:val="000000"/>
          <w:sz w:val="20"/>
          <w:lang w:eastAsia="zh-TW"/>
        </w:rPr>
        <w:t>20</w:t>
      </w:r>
      <w:r>
        <w:rPr>
          <w:color w:val="000000"/>
          <w:sz w:val="20"/>
        </w:rPr>
        <w:t>, 20</w:t>
      </w:r>
      <w:r w:rsidR="00F814B8">
        <w:rPr>
          <w:rFonts w:hint="eastAsia"/>
          <w:color w:val="000000"/>
          <w:sz w:val="20"/>
          <w:lang w:eastAsia="zh-TW"/>
        </w:rPr>
        <w:t>20</w:t>
      </w:r>
    </w:p>
    <w:p w14:paraId="75427F2C" w14:textId="459F729D" w:rsidR="00BB0803" w:rsidRDefault="00EF0077">
      <w:pPr>
        <w:spacing w:before="90" w:after="90" w:line="240" w:lineRule="exact"/>
        <w:jc w:val="right"/>
        <w:rPr>
          <w:rFonts w:hint="eastAsia"/>
          <w:lang w:eastAsia="zh-TW"/>
        </w:rPr>
      </w:pPr>
      <w:r>
        <w:rPr>
          <w:sz w:val="20"/>
        </w:rPr>
        <w:t>Approved for future reference per Letter Jin-Guan-Zheng-Tou-Zi No. 10</w:t>
      </w:r>
      <w:r w:rsidR="00F814B8">
        <w:rPr>
          <w:rFonts w:hint="eastAsia"/>
          <w:sz w:val="20"/>
          <w:lang w:eastAsia="zh-TW"/>
        </w:rPr>
        <w:t>80138960</w:t>
      </w:r>
    </w:p>
    <w:p w14:paraId="1315A1F0" w14:textId="77777777" w:rsidR="00BB0803" w:rsidRDefault="00BB0803">
      <w:pPr>
        <w:pStyle w:val="a4"/>
        <w:snapToGrid w:val="0"/>
        <w:spacing w:line="500" w:lineRule="exact"/>
        <w:jc w:val="both"/>
        <w:rPr>
          <w:rFonts w:ascii="Times New Roman" w:eastAsia="新細明體" w:hAnsi="Times New Roman"/>
          <w:b/>
          <w:sz w:val="28"/>
          <w:szCs w:val="28"/>
        </w:rPr>
      </w:pPr>
    </w:p>
    <w:p w14:paraId="3FF23DD8" w14:textId="77777777" w:rsidR="00BB0803" w:rsidRDefault="00EF0077">
      <w:pPr>
        <w:pStyle w:val="a4"/>
        <w:numPr>
          <w:ilvl w:val="0"/>
          <w:numId w:val="2"/>
        </w:numPr>
        <w:tabs>
          <w:tab w:val="left" w:pos="851"/>
        </w:tabs>
        <w:snapToGrid w:val="0"/>
        <w:spacing w:line="500" w:lineRule="exact"/>
        <w:ind w:left="851" w:hanging="851"/>
        <w:jc w:val="both"/>
      </w:pPr>
      <w:r>
        <w:rPr>
          <w:rFonts w:ascii="Times New Roman" w:hAnsi="Times New Roman"/>
          <w:b/>
          <w:sz w:val="28"/>
        </w:rPr>
        <w:t>Related to customer accounts:</w:t>
      </w:r>
    </w:p>
    <w:p w14:paraId="4B3B5026"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The contents of the customer’s application documents are forged or falsified.</w:t>
      </w:r>
    </w:p>
    <w:p w14:paraId="3D7EA2FD"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The customer refuses to provide information requested for no legitimate reason, or refuses to comply with due diligence or continuous monitoring procedures.</w:t>
      </w:r>
    </w:p>
    <w:p w14:paraId="3E3F8DF1" w14:textId="31F4A5FB" w:rsidR="00BB0803" w:rsidRDefault="000B10B0">
      <w:pPr>
        <w:pStyle w:val="a4"/>
        <w:numPr>
          <w:ilvl w:val="0"/>
          <w:numId w:val="3"/>
        </w:numPr>
        <w:tabs>
          <w:tab w:val="left" w:pos="1276"/>
        </w:tabs>
        <w:snapToGrid w:val="0"/>
        <w:spacing w:line="500" w:lineRule="exact"/>
        <w:ind w:left="1276" w:hanging="992"/>
        <w:jc w:val="both"/>
      </w:pPr>
      <w:r w:rsidRPr="000B10B0">
        <w:rPr>
          <w:rFonts w:ascii="Times New Roman" w:hAnsi="Times New Roman"/>
          <w:sz w:val="28"/>
        </w:rPr>
        <w:t>The applicant attempts to bribe or threaten personnel</w:t>
      </w:r>
      <w:r w:rsidRPr="000B10B0">
        <w:rPr>
          <w:rFonts w:ascii="Times New Roman" w:hAnsi="Times New Roman" w:hint="eastAsia"/>
          <w:sz w:val="28"/>
        </w:rPr>
        <w:t xml:space="preserve"> or use other action with the </w:t>
      </w:r>
      <w:r w:rsidRPr="000B10B0">
        <w:rPr>
          <w:rFonts w:ascii="Times New Roman" w:hAnsi="Times New Roman"/>
          <w:sz w:val="28"/>
        </w:rPr>
        <w:t>inten</w:t>
      </w:r>
      <w:r w:rsidRPr="000B10B0">
        <w:rPr>
          <w:rFonts w:ascii="Times New Roman" w:hAnsi="Times New Roman" w:hint="eastAsia"/>
          <w:sz w:val="28"/>
        </w:rPr>
        <w:t>t</w:t>
      </w:r>
      <w:r w:rsidRPr="000B10B0">
        <w:rPr>
          <w:rFonts w:ascii="Times New Roman" w:hAnsi="Times New Roman"/>
          <w:sz w:val="28"/>
        </w:rPr>
        <w:t xml:space="preserve"> to provide incomplete content on the application form, or attempts to coerce the enterprise’s personnel into accepting incomplete or erroneous information or demonstrates unusual concern regarding the company’s compliance with government reporting requirements, company systems, or the company's anti-money laundering and counter-terrorism financing policies and controls.</w:t>
      </w:r>
    </w:p>
    <w:p w14:paraId="27351BB6"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 xml:space="preserve">The customer is a </w:t>
      </w:r>
      <w:r>
        <w:rPr>
          <w:rFonts w:ascii="Times New Roman" w:hAnsi="Times New Roman"/>
          <w:sz w:val="28"/>
        </w:rPr>
        <w:t>politically exposed person, but attempts to evade filling in the application form correctly and completely, or does not fully elucidate the legitimacy of his/her sources of funds or securities.</w:t>
      </w:r>
    </w:p>
    <w:p w14:paraId="3B74E1B2"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Opens multiple accounts without justifiable reason, and the beneficial owner of the accounts is the same person.</w:t>
      </w:r>
    </w:p>
    <w:p w14:paraId="0E033592"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The customer changes his/her personal information frequently, such as address, phone number, or occupation, but there is no clear evidence to prove that the changes are factual or with reason.</w:t>
      </w:r>
    </w:p>
    <w:p w14:paraId="2C2AD597"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 xml:space="preserve">Identical contact information, such as address or phone number, is given for </w:t>
      </w:r>
      <w:r>
        <w:rPr>
          <w:rFonts w:ascii="Times New Roman" w:hAnsi="Times New Roman"/>
          <w:sz w:val="28"/>
        </w:rPr>
        <w:lastRenderedPageBreak/>
        <w:t>accounts of multiple different customers, but no obvious relationship between the customers can be seen based on the other information given (such as names, ages, places of residence, phone numbers).</w:t>
      </w:r>
    </w:p>
    <w:p w14:paraId="0250DA80"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Multiple accounts are opened under the names of different companies, but the companies share an identical statutory representative or authorized signatory.</w:t>
      </w:r>
    </w:p>
    <w:p w14:paraId="72DB0F67"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The customer is suspected of being a dummy account fraudulently used by others.</w:t>
      </w:r>
    </w:p>
    <w:p w14:paraId="58EAD762" w14:textId="34A78172"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The customer meets conditions specified in the "</w:t>
      </w:r>
      <w:r w:rsidR="006115D0" w:rsidRPr="006115D0">
        <w:rPr>
          <w:rFonts w:ascii="Times New Roman" w:hAnsi="Times New Roman"/>
          <w:sz w:val="28"/>
        </w:rPr>
        <w:t>Securities Investment Trust and Consulting Association of the R.O.C.'s Model Guidelines for Securities Investment Trust Enterprises and Securities Investment Consulting Enterprises Anti-Money Laundering and Counter Terrorism Financing Policies and Procedures</w:t>
      </w:r>
      <w:r>
        <w:rPr>
          <w:rFonts w:ascii="Times New Roman" w:hAnsi="Times New Roman"/>
          <w:sz w:val="28"/>
        </w:rPr>
        <w:t>" or other conditions in which customer identity verification procedures cannot be completed.</w:t>
      </w:r>
    </w:p>
    <w:p w14:paraId="4455A9D6"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 xml:space="preserve">The customer engages in transactions that exceed specific </w:t>
      </w:r>
      <w:proofErr w:type="gramStart"/>
      <w:r>
        <w:rPr>
          <w:rFonts w:ascii="Times New Roman" w:hAnsi="Times New Roman"/>
          <w:sz w:val="28"/>
        </w:rPr>
        <w:t>amounts</w:t>
      </w:r>
      <w:proofErr w:type="gramEnd"/>
      <w:r>
        <w:rPr>
          <w:rFonts w:ascii="Times New Roman" w:hAnsi="Times New Roman"/>
          <w:sz w:val="28"/>
        </w:rPr>
        <w:t xml:space="preserve"> but verification of its identity is difficult or the documents provided for verification have expired (e.g. foreign nationals, tourists, customers who do not reside in the country, and minors).</w:t>
      </w:r>
    </w:p>
    <w:p w14:paraId="25614B6A"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The customer is from a country or region with high money laundering or terrorism financing risk, or a country or region with high tax avoidance risks or strict financial confidentiality, as advised by international AML organizations.</w:t>
      </w:r>
    </w:p>
    <w:p w14:paraId="2096DEBA"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 xml:space="preserve">The customer is introduced by an overseas bank, a company with which it has a relationship of control or subordination, or other investors, and the customer and the person who introduces the customer are both from jurisdictions of </w:t>
      </w:r>
      <w:proofErr w:type="gramStart"/>
      <w:r>
        <w:rPr>
          <w:rFonts w:ascii="Times New Roman" w:hAnsi="Times New Roman"/>
          <w:sz w:val="28"/>
        </w:rPr>
        <w:t>high risk</w:t>
      </w:r>
      <w:proofErr w:type="gramEnd"/>
      <w:r>
        <w:rPr>
          <w:rFonts w:ascii="Times New Roman" w:hAnsi="Times New Roman"/>
          <w:sz w:val="28"/>
        </w:rPr>
        <w:t xml:space="preserve"> countries or regions with inadequate AML/CFT regimes.</w:t>
      </w:r>
    </w:p>
    <w:p w14:paraId="56EB4868"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 xml:space="preserve">It is discovered, based on the contents of customer information forms, that </w:t>
      </w:r>
      <w:r>
        <w:rPr>
          <w:rFonts w:ascii="Times New Roman" w:hAnsi="Times New Roman"/>
          <w:sz w:val="28"/>
        </w:rPr>
        <w:lastRenderedPageBreak/>
        <w:t xml:space="preserve">the customer’s financial status is obviously incommensurate with its identity and </w:t>
      </w:r>
      <w:proofErr w:type="gramStart"/>
      <w:r>
        <w:rPr>
          <w:rFonts w:ascii="Times New Roman" w:hAnsi="Times New Roman"/>
          <w:sz w:val="28"/>
        </w:rPr>
        <w:t>income</w:t>
      </w:r>
      <w:proofErr w:type="gramEnd"/>
      <w:r>
        <w:rPr>
          <w:rFonts w:ascii="Times New Roman" w:hAnsi="Times New Roman"/>
          <w:sz w:val="28"/>
        </w:rPr>
        <w:t xml:space="preserve"> or its sources of funds are unclear.</w:t>
      </w:r>
    </w:p>
    <w:p w14:paraId="1B459886" w14:textId="77777777" w:rsidR="00BB0803" w:rsidRDefault="00EF0077">
      <w:pPr>
        <w:pStyle w:val="a4"/>
        <w:numPr>
          <w:ilvl w:val="0"/>
          <w:numId w:val="3"/>
        </w:numPr>
        <w:tabs>
          <w:tab w:val="left" w:pos="1276"/>
        </w:tabs>
        <w:snapToGrid w:val="0"/>
        <w:spacing w:line="500" w:lineRule="exact"/>
        <w:ind w:left="1276" w:hanging="992"/>
        <w:jc w:val="both"/>
      </w:pPr>
      <w:r>
        <w:rPr>
          <w:rFonts w:ascii="Times New Roman" w:hAnsi="Times New Roman"/>
          <w:sz w:val="28"/>
        </w:rPr>
        <w:tab/>
        <w:t>The legal entity subscribes to funds or submits discretionary assets for management that are clearly incommensurate with its capital, operating revenue, or liquid cash, or the company has been established for only an extremely short period of time.</w:t>
      </w:r>
    </w:p>
    <w:p w14:paraId="57F8FEE1" w14:textId="77777777" w:rsidR="00BB0803" w:rsidRDefault="00EF0077">
      <w:pPr>
        <w:pStyle w:val="a4"/>
        <w:numPr>
          <w:ilvl w:val="0"/>
          <w:numId w:val="3"/>
        </w:numPr>
        <w:tabs>
          <w:tab w:val="left" w:pos="1276"/>
        </w:tabs>
        <w:snapToGrid w:val="0"/>
        <w:spacing w:line="500" w:lineRule="exact"/>
        <w:ind w:left="1274" w:hanging="1274"/>
        <w:jc w:val="both"/>
      </w:pPr>
      <w:r>
        <w:rPr>
          <w:rFonts w:ascii="Times New Roman" w:hAnsi="Times New Roman"/>
          <w:sz w:val="28"/>
        </w:rPr>
        <w:t>The customer engages in fund transactions or mandates for discretionary investment and fails to reasonably explain frequent changes to its designated bank account.</w:t>
      </w:r>
    </w:p>
    <w:p w14:paraId="0656F268" w14:textId="77777777" w:rsidR="00BB0803" w:rsidRDefault="00EF0077">
      <w:pPr>
        <w:pStyle w:val="a4"/>
        <w:numPr>
          <w:ilvl w:val="0"/>
          <w:numId w:val="3"/>
        </w:numPr>
        <w:tabs>
          <w:tab w:val="left" w:pos="1276"/>
        </w:tabs>
        <w:snapToGrid w:val="0"/>
        <w:spacing w:line="500" w:lineRule="exact"/>
        <w:ind w:left="1274" w:hanging="1274"/>
        <w:jc w:val="both"/>
      </w:pPr>
      <w:r>
        <w:rPr>
          <w:rFonts w:ascii="Times New Roman" w:hAnsi="Times New Roman"/>
          <w:sz w:val="28"/>
        </w:rPr>
        <w:t>A customer commissions a broker or authorizes a person acting on their behalf to subscribe to a fund or sign a mandate contract for discretionary investment and, upon reconfirmation at the time of or after account opening, still fails to provide reasonable basis or exhibits obvious irregularities.</w:t>
      </w:r>
    </w:p>
    <w:p w14:paraId="509E2C23" w14:textId="77777777" w:rsidR="00BB0803" w:rsidRDefault="00EF0077">
      <w:pPr>
        <w:pStyle w:val="a4"/>
        <w:numPr>
          <w:ilvl w:val="0"/>
          <w:numId w:val="3"/>
        </w:numPr>
        <w:tabs>
          <w:tab w:val="left" w:pos="1276"/>
        </w:tabs>
        <w:snapToGrid w:val="0"/>
        <w:spacing w:line="500" w:lineRule="exact"/>
        <w:ind w:left="1274" w:hanging="1274"/>
        <w:jc w:val="both"/>
      </w:pPr>
      <w:r>
        <w:rPr>
          <w:rFonts w:ascii="Times New Roman" w:hAnsi="Times New Roman"/>
          <w:sz w:val="28"/>
        </w:rPr>
        <w:t>Reports or other documents sent to the customer are returned and marked "Addressee not found" by the post office.</w:t>
      </w:r>
    </w:p>
    <w:p w14:paraId="5F1028EF" w14:textId="77777777" w:rsidR="00BB0803" w:rsidRDefault="00EF0077">
      <w:pPr>
        <w:pStyle w:val="a4"/>
        <w:numPr>
          <w:ilvl w:val="0"/>
          <w:numId w:val="3"/>
        </w:numPr>
        <w:tabs>
          <w:tab w:val="left" w:pos="1276"/>
        </w:tabs>
        <w:snapToGrid w:val="0"/>
        <w:spacing w:line="500" w:lineRule="exact"/>
        <w:ind w:left="1274" w:hanging="1274"/>
        <w:jc w:val="both"/>
      </w:pPr>
      <w:r>
        <w:rPr>
          <w:rFonts w:ascii="Times New Roman" w:hAnsi="Times New Roman"/>
          <w:sz w:val="28"/>
        </w:rPr>
        <w:t>There are doubts regarding the veracity or adequacy of previously obtained customer identification information, and repeated customer identity verification fails to generate a reasonable explanation or uncovers obvious irregularities.</w:t>
      </w:r>
    </w:p>
    <w:p w14:paraId="09FF3A16" w14:textId="67C46458" w:rsidR="00BB0803" w:rsidRDefault="00B67456">
      <w:pPr>
        <w:pStyle w:val="a4"/>
        <w:numPr>
          <w:ilvl w:val="0"/>
          <w:numId w:val="3"/>
        </w:numPr>
        <w:tabs>
          <w:tab w:val="left" w:pos="1276"/>
        </w:tabs>
        <w:snapToGrid w:val="0"/>
        <w:spacing w:line="500" w:lineRule="exact"/>
        <w:ind w:left="1274" w:hanging="1274"/>
        <w:jc w:val="both"/>
      </w:pPr>
      <w:r w:rsidRPr="00B67456">
        <w:rPr>
          <w:rFonts w:ascii="Times New Roman" w:hAnsi="Times New Roman"/>
          <w:sz w:val="28"/>
        </w:rPr>
        <w:t>Awareness that the customer has been rejected by other financial institutions or has had their customer status terminated.</w:t>
      </w:r>
    </w:p>
    <w:p w14:paraId="1F6408A1" w14:textId="77777777" w:rsidR="00BB0803" w:rsidRDefault="00EF0077">
      <w:pPr>
        <w:pStyle w:val="a4"/>
        <w:numPr>
          <w:ilvl w:val="0"/>
          <w:numId w:val="2"/>
        </w:numPr>
        <w:tabs>
          <w:tab w:val="left" w:pos="851"/>
        </w:tabs>
        <w:snapToGrid w:val="0"/>
        <w:spacing w:line="500" w:lineRule="exact"/>
        <w:ind w:left="851" w:hanging="851"/>
        <w:jc w:val="both"/>
      </w:pPr>
      <w:r>
        <w:rPr>
          <w:rFonts w:ascii="Times New Roman" w:hAnsi="Times New Roman"/>
          <w:b/>
          <w:sz w:val="28"/>
        </w:rPr>
        <w:t>Related to transactions:</w:t>
      </w:r>
    </w:p>
    <w:p w14:paraId="5BABC986" w14:textId="77777777" w:rsidR="00BB0803" w:rsidRDefault="00EF0077">
      <w:pPr>
        <w:pStyle w:val="a4"/>
        <w:numPr>
          <w:ilvl w:val="0"/>
          <w:numId w:val="4"/>
        </w:numPr>
        <w:tabs>
          <w:tab w:val="left" w:pos="-11"/>
        </w:tabs>
        <w:snapToGrid w:val="0"/>
        <w:spacing w:line="500" w:lineRule="exact"/>
        <w:jc w:val="both"/>
      </w:pPr>
      <w:r>
        <w:rPr>
          <w:rFonts w:ascii="Times New Roman" w:hAnsi="Times New Roman"/>
          <w:b/>
          <w:sz w:val="28"/>
        </w:rPr>
        <w:t>Funds</w:t>
      </w:r>
    </w:p>
    <w:p w14:paraId="685F0CFE" w14:textId="77777777" w:rsidR="00BB0803" w:rsidRDefault="00EF0077">
      <w:pPr>
        <w:pStyle w:val="a4"/>
        <w:numPr>
          <w:ilvl w:val="0"/>
          <w:numId w:val="5"/>
        </w:numPr>
        <w:tabs>
          <w:tab w:val="left" w:pos="709"/>
        </w:tabs>
        <w:snapToGrid w:val="0"/>
        <w:spacing w:line="500" w:lineRule="exact"/>
        <w:ind w:left="709" w:hanging="709"/>
        <w:jc w:val="both"/>
      </w:pPr>
      <w:r>
        <w:rPr>
          <w:rFonts w:ascii="Times New Roman" w:hAnsi="Times New Roman"/>
          <w:sz w:val="28"/>
        </w:rPr>
        <w:t xml:space="preserve">The customer subscribes or redeems funds within a specific amount of time and the subscriptions or redemptions </w:t>
      </w:r>
      <w:r>
        <w:rPr>
          <w:rFonts w:ascii="Times New Roman" w:hAnsi="Times New Roman"/>
          <w:sz w:val="28"/>
        </w:rPr>
        <w:t>separately exceed specific amounts.</w:t>
      </w:r>
    </w:p>
    <w:p w14:paraId="21825B05" w14:textId="77777777" w:rsidR="00BB0803" w:rsidRDefault="00EF0077">
      <w:pPr>
        <w:pStyle w:val="a4"/>
        <w:numPr>
          <w:ilvl w:val="0"/>
          <w:numId w:val="5"/>
        </w:numPr>
        <w:tabs>
          <w:tab w:val="left" w:pos="709"/>
        </w:tabs>
        <w:snapToGrid w:val="0"/>
        <w:spacing w:line="500" w:lineRule="exact"/>
        <w:ind w:left="709" w:hanging="709"/>
        <w:jc w:val="both"/>
      </w:pPr>
      <w:r>
        <w:rPr>
          <w:rFonts w:ascii="Times New Roman" w:hAnsi="Times New Roman"/>
          <w:sz w:val="28"/>
        </w:rPr>
        <w:t>The customer, within a short period of time, rapidly subscribes to multiple funds exceeding a specific amount or a specific number of transactions, and then quickly redeems them.</w:t>
      </w:r>
    </w:p>
    <w:p w14:paraId="20EA9421" w14:textId="77777777" w:rsidR="00BB0803" w:rsidRDefault="00EF0077">
      <w:pPr>
        <w:pStyle w:val="a4"/>
        <w:numPr>
          <w:ilvl w:val="0"/>
          <w:numId w:val="5"/>
        </w:numPr>
        <w:tabs>
          <w:tab w:val="left" w:pos="709"/>
        </w:tabs>
        <w:snapToGrid w:val="0"/>
        <w:spacing w:line="500" w:lineRule="exact"/>
        <w:ind w:left="709" w:hanging="709"/>
        <w:jc w:val="both"/>
      </w:pPr>
      <w:r>
        <w:rPr>
          <w:rFonts w:ascii="Times New Roman" w:hAnsi="Times New Roman"/>
          <w:sz w:val="28"/>
        </w:rPr>
        <w:lastRenderedPageBreak/>
        <w:t>New accounts or accounts that have been dormant for over a year are suddenly engaged in subscriptions that exceed a specific amount.</w:t>
      </w:r>
    </w:p>
    <w:p w14:paraId="62416A23" w14:textId="77777777" w:rsidR="00BB0803" w:rsidRDefault="00EF0077">
      <w:pPr>
        <w:pStyle w:val="a4"/>
        <w:numPr>
          <w:ilvl w:val="0"/>
          <w:numId w:val="5"/>
        </w:numPr>
        <w:tabs>
          <w:tab w:val="left" w:pos="709"/>
        </w:tabs>
        <w:snapToGrid w:val="0"/>
        <w:spacing w:line="500" w:lineRule="exact"/>
        <w:ind w:left="709" w:hanging="709"/>
        <w:jc w:val="both"/>
      </w:pPr>
      <w:r>
        <w:rPr>
          <w:rFonts w:ascii="Times New Roman" w:hAnsi="Times New Roman"/>
          <w:sz w:val="28"/>
        </w:rPr>
        <w:t>A third party is frequently authorized by the customer to make subscription/redemption requests.</w:t>
      </w:r>
    </w:p>
    <w:p w14:paraId="0291AABE" w14:textId="2FD7289C" w:rsidR="00BB0803" w:rsidRDefault="000B10B0">
      <w:pPr>
        <w:pStyle w:val="a4"/>
        <w:numPr>
          <w:ilvl w:val="0"/>
          <w:numId w:val="5"/>
        </w:numPr>
        <w:tabs>
          <w:tab w:val="left" w:pos="709"/>
        </w:tabs>
        <w:snapToGrid w:val="0"/>
        <w:spacing w:line="500" w:lineRule="exact"/>
        <w:ind w:left="709" w:hanging="709"/>
        <w:jc w:val="both"/>
      </w:pPr>
      <w:r w:rsidRPr="000B10B0">
        <w:rPr>
          <w:rFonts w:ascii="Times New Roman" w:hAnsi="Times New Roman"/>
          <w:sz w:val="28"/>
        </w:rPr>
        <w:t xml:space="preserve">When an individual implicated in a special or material case reported in the media such as television, newspapers, magazines, or the </w:t>
      </w:r>
      <w:r w:rsidR="006115D0">
        <w:rPr>
          <w:rFonts w:ascii="Times New Roman" w:hAnsi="Times New Roman" w:hint="eastAsia"/>
          <w:sz w:val="28"/>
          <w:lang w:eastAsia="zh-TW"/>
        </w:rPr>
        <w:t>i</w:t>
      </w:r>
      <w:r w:rsidRPr="000B10B0">
        <w:rPr>
          <w:rFonts w:ascii="Times New Roman" w:hAnsi="Times New Roman"/>
          <w:sz w:val="28"/>
        </w:rPr>
        <w:t>nternet engages in fund subscription and redemption transactions at the company</w:t>
      </w:r>
      <w:r w:rsidRPr="000B10B0">
        <w:rPr>
          <w:rFonts w:ascii="Times New Roman" w:hAnsi="Times New Roman" w:hint="eastAsia"/>
          <w:sz w:val="28"/>
        </w:rPr>
        <w:t xml:space="preserve">, or </w:t>
      </w:r>
      <w:r w:rsidRPr="000B10B0">
        <w:rPr>
          <w:rFonts w:ascii="Times New Roman" w:hAnsi="Times New Roman"/>
          <w:sz w:val="28"/>
        </w:rPr>
        <w:t xml:space="preserve">awareness that the </w:t>
      </w:r>
      <w:r w:rsidRPr="000B10B0">
        <w:rPr>
          <w:rFonts w:ascii="Times New Roman" w:hAnsi="Times New Roman" w:hint="eastAsia"/>
          <w:sz w:val="28"/>
        </w:rPr>
        <w:t>customer</w:t>
      </w:r>
      <w:r w:rsidRPr="000B10B0">
        <w:rPr>
          <w:rFonts w:ascii="Times New Roman" w:hAnsi="Times New Roman"/>
          <w:sz w:val="28"/>
        </w:rPr>
        <w:t xml:space="preserve"> is suspected of involvement in a special or material case, and the transactions are obviously unusual.</w:t>
      </w:r>
    </w:p>
    <w:p w14:paraId="294FEF53" w14:textId="77777777" w:rsidR="00BB0803" w:rsidRDefault="00EF0077">
      <w:pPr>
        <w:pStyle w:val="a4"/>
        <w:numPr>
          <w:ilvl w:val="0"/>
          <w:numId w:val="5"/>
        </w:numPr>
        <w:tabs>
          <w:tab w:val="left" w:pos="709"/>
        </w:tabs>
        <w:snapToGrid w:val="0"/>
        <w:spacing w:line="500" w:lineRule="exact"/>
        <w:ind w:left="709" w:hanging="709"/>
        <w:jc w:val="both"/>
      </w:pPr>
      <w:r>
        <w:rPr>
          <w:rFonts w:ascii="Times New Roman" w:hAnsi="Times New Roman"/>
          <w:sz w:val="28"/>
        </w:rPr>
        <w:t>The customer uses a fund account opened collectively by company employees or members of a specific group to engage in frequent transactions that exceed a specific amount.</w:t>
      </w:r>
    </w:p>
    <w:p w14:paraId="7A9D14C0" w14:textId="77777777" w:rsidR="00BB0803" w:rsidRDefault="00EF0077">
      <w:pPr>
        <w:pStyle w:val="a4"/>
        <w:numPr>
          <w:ilvl w:val="0"/>
          <w:numId w:val="5"/>
        </w:numPr>
        <w:tabs>
          <w:tab w:val="left" w:pos="709"/>
        </w:tabs>
        <w:snapToGrid w:val="0"/>
        <w:spacing w:line="500" w:lineRule="exact"/>
        <w:ind w:left="709" w:hanging="709"/>
        <w:jc w:val="both"/>
      </w:pPr>
      <w:r>
        <w:rPr>
          <w:rFonts w:ascii="Times New Roman" w:hAnsi="Times New Roman"/>
          <w:sz w:val="28"/>
        </w:rPr>
        <w:t>Multiple accounts are assigned to the same person conducting discretionary transactions on behalf of others.</w:t>
      </w:r>
    </w:p>
    <w:p w14:paraId="7731F32C" w14:textId="77777777" w:rsidR="00BB0803" w:rsidRDefault="00EF0077">
      <w:pPr>
        <w:pStyle w:val="a4"/>
        <w:numPr>
          <w:ilvl w:val="0"/>
          <w:numId w:val="5"/>
        </w:numPr>
        <w:tabs>
          <w:tab w:val="left" w:pos="709"/>
        </w:tabs>
        <w:snapToGrid w:val="0"/>
        <w:spacing w:line="500" w:lineRule="exact"/>
        <w:ind w:left="709" w:hanging="709"/>
        <w:jc w:val="both"/>
      </w:pPr>
      <w:r>
        <w:rPr>
          <w:rFonts w:ascii="Times New Roman" w:hAnsi="Times New Roman"/>
          <w:sz w:val="28"/>
        </w:rPr>
        <w:t xml:space="preserve">Multiple accounts of persons other </w:t>
      </w:r>
      <w:r>
        <w:rPr>
          <w:rFonts w:ascii="Times New Roman" w:hAnsi="Times New Roman"/>
          <w:sz w:val="28"/>
        </w:rPr>
        <w:t>than the customer, or persons acting on behalf of a customer, are used to disperse transactions that exceed a specific amount.</w:t>
      </w:r>
    </w:p>
    <w:p w14:paraId="524ACEB4" w14:textId="77777777" w:rsidR="00BB0803" w:rsidRDefault="00EF0077">
      <w:pPr>
        <w:pStyle w:val="a4"/>
        <w:numPr>
          <w:ilvl w:val="0"/>
          <w:numId w:val="5"/>
        </w:numPr>
        <w:tabs>
          <w:tab w:val="left" w:pos="709"/>
        </w:tabs>
        <w:snapToGrid w:val="0"/>
        <w:spacing w:line="500" w:lineRule="exact"/>
        <w:ind w:left="709" w:hanging="709"/>
        <w:jc w:val="both"/>
      </w:pPr>
      <w:r>
        <w:rPr>
          <w:rFonts w:ascii="Times New Roman" w:hAnsi="Times New Roman"/>
          <w:sz w:val="28"/>
        </w:rPr>
        <w:t>Any other obviously unusual transactions or suspicious circumstances that come to the attention of the merchant’s personnel, regardless of transaction amounts or whether the transactions have been completed.</w:t>
      </w:r>
    </w:p>
    <w:p w14:paraId="1AE8A2A3" w14:textId="77777777" w:rsidR="00BB0803" w:rsidRDefault="00EF0077">
      <w:pPr>
        <w:pStyle w:val="a4"/>
        <w:numPr>
          <w:ilvl w:val="0"/>
          <w:numId w:val="5"/>
        </w:numPr>
        <w:tabs>
          <w:tab w:val="left" w:pos="709"/>
        </w:tabs>
        <w:snapToGrid w:val="0"/>
        <w:spacing w:line="500" w:lineRule="exact"/>
        <w:ind w:left="709" w:hanging="709"/>
        <w:jc w:val="both"/>
      </w:pPr>
      <w:r>
        <w:rPr>
          <w:rFonts w:ascii="Times New Roman" w:hAnsi="Times New Roman"/>
          <w:sz w:val="28"/>
        </w:rPr>
        <w:t>Other obvious irregular trading activity.</w:t>
      </w:r>
    </w:p>
    <w:p w14:paraId="69B4197C" w14:textId="77777777" w:rsidR="00BB0803" w:rsidRDefault="00EF0077">
      <w:pPr>
        <w:pStyle w:val="a4"/>
        <w:numPr>
          <w:ilvl w:val="0"/>
          <w:numId w:val="4"/>
        </w:numPr>
        <w:tabs>
          <w:tab w:val="left" w:pos="851"/>
        </w:tabs>
        <w:snapToGrid w:val="0"/>
        <w:spacing w:line="500" w:lineRule="exact"/>
        <w:ind w:left="709"/>
        <w:jc w:val="both"/>
      </w:pPr>
      <w:r>
        <w:rPr>
          <w:rFonts w:ascii="Times New Roman" w:hAnsi="Times New Roman"/>
          <w:b/>
          <w:sz w:val="28"/>
        </w:rPr>
        <w:t>Discretionary investment</w:t>
      </w:r>
    </w:p>
    <w:p w14:paraId="3D4294D2" w14:textId="77777777" w:rsidR="00BB0803" w:rsidRDefault="00EF0077">
      <w:pPr>
        <w:pStyle w:val="a4"/>
        <w:numPr>
          <w:ilvl w:val="0"/>
          <w:numId w:val="6"/>
        </w:numPr>
        <w:tabs>
          <w:tab w:val="left" w:pos="-11"/>
        </w:tabs>
        <w:snapToGrid w:val="0"/>
        <w:spacing w:line="500" w:lineRule="exact"/>
        <w:jc w:val="both"/>
      </w:pPr>
      <w:r>
        <w:rPr>
          <w:rFonts w:ascii="Times New Roman" w:hAnsi="Times New Roman"/>
          <w:sz w:val="28"/>
        </w:rPr>
        <w:t>The customer's discretionary assets exceed a specific amount.</w:t>
      </w:r>
    </w:p>
    <w:p w14:paraId="3E540FE9" w14:textId="77777777" w:rsidR="00BB0803" w:rsidRDefault="00EF0077">
      <w:pPr>
        <w:pStyle w:val="a4"/>
        <w:numPr>
          <w:ilvl w:val="0"/>
          <w:numId w:val="6"/>
        </w:numPr>
        <w:tabs>
          <w:tab w:val="left" w:pos="-11"/>
        </w:tabs>
        <w:snapToGrid w:val="0"/>
        <w:spacing w:line="500" w:lineRule="exact"/>
        <w:jc w:val="both"/>
      </w:pPr>
      <w:r>
        <w:rPr>
          <w:rFonts w:ascii="Times New Roman" w:hAnsi="Times New Roman"/>
          <w:sz w:val="28"/>
        </w:rPr>
        <w:t xml:space="preserve">The customer terminates a </w:t>
      </w:r>
      <w:proofErr w:type="gramStart"/>
      <w:r>
        <w:rPr>
          <w:rFonts w:ascii="Times New Roman" w:hAnsi="Times New Roman"/>
          <w:sz w:val="28"/>
        </w:rPr>
        <w:t>mandate</w:t>
      </w:r>
      <w:proofErr w:type="gramEnd"/>
      <w:r>
        <w:rPr>
          <w:rFonts w:ascii="Times New Roman" w:hAnsi="Times New Roman"/>
          <w:sz w:val="28"/>
        </w:rPr>
        <w:t xml:space="preserve"> contract for discretionary investment immediately after contract signing.</w:t>
      </w:r>
    </w:p>
    <w:p w14:paraId="39F32C65" w14:textId="77777777" w:rsidR="00BB0803" w:rsidRDefault="00EF0077">
      <w:pPr>
        <w:pStyle w:val="a4"/>
        <w:numPr>
          <w:ilvl w:val="0"/>
          <w:numId w:val="6"/>
        </w:numPr>
        <w:tabs>
          <w:tab w:val="left" w:pos="-11"/>
        </w:tabs>
        <w:snapToGrid w:val="0"/>
        <w:spacing w:line="500" w:lineRule="exact"/>
        <w:jc w:val="both"/>
      </w:pPr>
      <w:r>
        <w:rPr>
          <w:rFonts w:ascii="Times New Roman" w:hAnsi="Times New Roman"/>
          <w:sz w:val="28"/>
        </w:rPr>
        <w:t>The customer increases or reduces discretionary assets that exceed a specific amount within a specific period of time.</w:t>
      </w:r>
    </w:p>
    <w:p w14:paraId="40FAF4DC" w14:textId="17AC9527" w:rsidR="00BB0803" w:rsidRDefault="000B10B0">
      <w:pPr>
        <w:pStyle w:val="a4"/>
        <w:numPr>
          <w:ilvl w:val="0"/>
          <w:numId w:val="6"/>
        </w:numPr>
        <w:tabs>
          <w:tab w:val="left" w:pos="-11"/>
        </w:tabs>
        <w:snapToGrid w:val="0"/>
        <w:spacing w:line="500" w:lineRule="exact"/>
        <w:jc w:val="both"/>
      </w:pPr>
      <w:r w:rsidRPr="000B10B0">
        <w:rPr>
          <w:rFonts w:ascii="Times New Roman" w:hAnsi="Times New Roman"/>
          <w:sz w:val="28"/>
        </w:rPr>
        <w:t xml:space="preserve">When an individual implicated in a special or material case reported in the media such as television, newspapers, magazines, or the </w:t>
      </w:r>
      <w:r w:rsidR="006115D0">
        <w:rPr>
          <w:rFonts w:ascii="Times New Roman" w:hAnsi="Times New Roman" w:hint="eastAsia"/>
          <w:sz w:val="28"/>
          <w:lang w:eastAsia="zh-TW"/>
        </w:rPr>
        <w:t>i</w:t>
      </w:r>
      <w:r w:rsidRPr="000B10B0">
        <w:rPr>
          <w:rFonts w:ascii="Times New Roman" w:hAnsi="Times New Roman"/>
          <w:sz w:val="28"/>
        </w:rPr>
        <w:t xml:space="preserve">nternet signs a mandate </w:t>
      </w:r>
      <w:r w:rsidRPr="000B10B0">
        <w:rPr>
          <w:rFonts w:ascii="Times New Roman" w:hAnsi="Times New Roman"/>
          <w:sz w:val="28"/>
        </w:rPr>
        <w:lastRenderedPageBreak/>
        <w:t xml:space="preserve">contract for discretionary investment with the company or awareness that the </w:t>
      </w:r>
      <w:r w:rsidRPr="000B10B0">
        <w:rPr>
          <w:rFonts w:ascii="Times New Roman" w:hAnsi="Times New Roman" w:hint="eastAsia"/>
          <w:sz w:val="28"/>
        </w:rPr>
        <w:t>customer</w:t>
      </w:r>
      <w:r w:rsidRPr="000B10B0">
        <w:rPr>
          <w:rFonts w:ascii="Times New Roman" w:hAnsi="Times New Roman"/>
          <w:sz w:val="28"/>
        </w:rPr>
        <w:t xml:space="preserve"> is suspected of involvement in a special or material case,</w:t>
      </w:r>
      <w:r w:rsidRPr="000B10B0">
        <w:rPr>
          <w:rFonts w:ascii="Times New Roman" w:hAnsi="Times New Roman" w:hint="eastAsia"/>
          <w:sz w:val="28"/>
        </w:rPr>
        <w:t xml:space="preserve"> </w:t>
      </w:r>
      <w:r w:rsidRPr="000B10B0">
        <w:rPr>
          <w:rFonts w:ascii="Times New Roman" w:hAnsi="Times New Roman"/>
          <w:sz w:val="28"/>
        </w:rPr>
        <w:t>and circumstances are clearly unusual.</w:t>
      </w:r>
    </w:p>
    <w:p w14:paraId="76907169" w14:textId="77777777" w:rsidR="00BB0803" w:rsidRDefault="00EF0077">
      <w:pPr>
        <w:pStyle w:val="a4"/>
        <w:numPr>
          <w:ilvl w:val="0"/>
          <w:numId w:val="6"/>
        </w:numPr>
        <w:tabs>
          <w:tab w:val="left" w:pos="-11"/>
        </w:tabs>
        <w:snapToGrid w:val="0"/>
        <w:spacing w:line="500" w:lineRule="exact"/>
        <w:jc w:val="both"/>
      </w:pPr>
      <w:r>
        <w:rPr>
          <w:rFonts w:ascii="Times New Roman" w:hAnsi="Times New Roman"/>
          <w:sz w:val="28"/>
        </w:rPr>
        <w:t xml:space="preserve">Multiple accounts of </w:t>
      </w:r>
      <w:proofErr w:type="gramStart"/>
      <w:r>
        <w:rPr>
          <w:rFonts w:ascii="Times New Roman" w:hAnsi="Times New Roman"/>
          <w:sz w:val="28"/>
        </w:rPr>
        <w:t>persons</w:t>
      </w:r>
      <w:proofErr w:type="gramEnd"/>
      <w:r>
        <w:rPr>
          <w:rFonts w:ascii="Times New Roman" w:hAnsi="Times New Roman"/>
          <w:sz w:val="28"/>
        </w:rPr>
        <w:t xml:space="preserve"> other than the customer are used to disperse discretionary investments that exceed a specific amount.</w:t>
      </w:r>
    </w:p>
    <w:p w14:paraId="1E5BD304" w14:textId="77777777" w:rsidR="00BB0803" w:rsidRPr="000B10B0" w:rsidRDefault="00EF0077">
      <w:pPr>
        <w:pStyle w:val="a4"/>
        <w:numPr>
          <w:ilvl w:val="0"/>
          <w:numId w:val="6"/>
        </w:numPr>
        <w:tabs>
          <w:tab w:val="left" w:pos="-11"/>
        </w:tabs>
        <w:snapToGrid w:val="0"/>
        <w:spacing w:line="500" w:lineRule="exact"/>
        <w:jc w:val="both"/>
      </w:pPr>
      <w:r>
        <w:rPr>
          <w:rFonts w:ascii="Times New Roman" w:hAnsi="Times New Roman"/>
          <w:sz w:val="28"/>
        </w:rPr>
        <w:t>Any other obviously irregular transactions or suspicious circumstances come to the attention of the enterprise’s personnel, regardless discretionary asset amounts or whether the mandate contract for discretionary investment has been signed.</w:t>
      </w:r>
    </w:p>
    <w:p w14:paraId="57081B89" w14:textId="290C9C57" w:rsidR="000B10B0" w:rsidRDefault="000B10B0">
      <w:pPr>
        <w:pStyle w:val="a4"/>
        <w:numPr>
          <w:ilvl w:val="0"/>
          <w:numId w:val="6"/>
        </w:numPr>
        <w:tabs>
          <w:tab w:val="left" w:pos="-11"/>
        </w:tabs>
        <w:snapToGrid w:val="0"/>
        <w:spacing w:line="500" w:lineRule="exact"/>
        <w:jc w:val="both"/>
      </w:pPr>
      <w:r w:rsidRPr="000B10B0">
        <w:rPr>
          <w:rFonts w:ascii="Times New Roman" w:hAnsi="Times New Roman"/>
          <w:sz w:val="28"/>
        </w:rPr>
        <w:t>The customer increases their entrusted investment assets with large amounts of securities, but cannot reasonably explain the source of these securities, or provides inconsistent explanations.</w:t>
      </w:r>
    </w:p>
    <w:p w14:paraId="43BAFC52" w14:textId="77777777" w:rsidR="00BB0803" w:rsidRDefault="00EF0077">
      <w:pPr>
        <w:pStyle w:val="a4"/>
        <w:numPr>
          <w:ilvl w:val="0"/>
          <w:numId w:val="2"/>
        </w:numPr>
        <w:tabs>
          <w:tab w:val="left" w:pos="851"/>
        </w:tabs>
        <w:snapToGrid w:val="0"/>
        <w:spacing w:line="500" w:lineRule="exact"/>
        <w:ind w:left="851" w:hanging="851"/>
        <w:jc w:val="both"/>
      </w:pPr>
      <w:r>
        <w:rPr>
          <w:rFonts w:ascii="Times New Roman" w:hAnsi="Times New Roman"/>
          <w:b/>
          <w:sz w:val="28"/>
        </w:rPr>
        <w:t>Related to payment/remittances:</w:t>
      </w:r>
    </w:p>
    <w:p w14:paraId="776EB4A5" w14:textId="77777777" w:rsidR="00BB0803" w:rsidRDefault="00EF0077" w:rsidP="007E4D10">
      <w:pPr>
        <w:pStyle w:val="a4"/>
        <w:numPr>
          <w:ilvl w:val="0"/>
          <w:numId w:val="9"/>
        </w:numPr>
        <w:tabs>
          <w:tab w:val="left" w:pos="851"/>
        </w:tabs>
        <w:snapToGrid w:val="0"/>
        <w:spacing w:line="500" w:lineRule="exact"/>
        <w:jc w:val="both"/>
      </w:pPr>
      <w:r>
        <w:rPr>
          <w:rFonts w:ascii="Times New Roman" w:hAnsi="Times New Roman"/>
          <w:sz w:val="28"/>
        </w:rPr>
        <w:t xml:space="preserve">The customer redeems a fund or reduces discretionary assets that exceed a specific amount within a specific period of time and the customer's designated bank account is located in an </w:t>
      </w:r>
      <w:r>
        <w:rPr>
          <w:rFonts w:ascii="Times New Roman" w:hAnsi="Times New Roman"/>
          <w:sz w:val="28"/>
        </w:rPr>
        <w:t>area with frequent military and terrorist activities.</w:t>
      </w:r>
    </w:p>
    <w:p w14:paraId="6D151C7E" w14:textId="77777777" w:rsidR="00BB0803" w:rsidRDefault="00EF0077" w:rsidP="007E4D10">
      <w:pPr>
        <w:pStyle w:val="a4"/>
        <w:numPr>
          <w:ilvl w:val="0"/>
          <w:numId w:val="9"/>
        </w:numPr>
        <w:tabs>
          <w:tab w:val="left" w:pos="851"/>
        </w:tabs>
        <w:snapToGrid w:val="0"/>
        <w:spacing w:line="500" w:lineRule="exact"/>
        <w:jc w:val="both"/>
      </w:pPr>
      <w:r>
        <w:rPr>
          <w:rFonts w:ascii="Times New Roman" w:hAnsi="Times New Roman"/>
          <w:sz w:val="28"/>
        </w:rPr>
        <w:t>The customer's designated account is at a bank established in a country or region with high money laundering or terrorism financing risks, as advised by international AML organizations.</w:t>
      </w:r>
    </w:p>
    <w:p w14:paraId="1CFDE745" w14:textId="4649AD4F" w:rsidR="000B10B0" w:rsidRPr="000B10B0" w:rsidRDefault="000B10B0" w:rsidP="000B10B0">
      <w:pPr>
        <w:pStyle w:val="a4"/>
        <w:numPr>
          <w:ilvl w:val="0"/>
          <w:numId w:val="2"/>
        </w:numPr>
        <w:tabs>
          <w:tab w:val="left" w:pos="851"/>
        </w:tabs>
        <w:snapToGrid w:val="0"/>
        <w:spacing w:line="500" w:lineRule="exact"/>
        <w:ind w:left="851" w:hanging="851"/>
        <w:jc w:val="both"/>
        <w:rPr>
          <w:rFonts w:ascii="Times New Roman" w:hAnsi="Times New Roman"/>
          <w:b/>
          <w:sz w:val="28"/>
        </w:rPr>
      </w:pPr>
      <w:r w:rsidRPr="000B10B0">
        <w:rPr>
          <w:rFonts w:ascii="Times New Roman" w:hAnsi="Times New Roman"/>
          <w:b/>
          <w:sz w:val="28"/>
        </w:rPr>
        <w:t>Related to Terrorism Financing:</w:t>
      </w:r>
    </w:p>
    <w:p w14:paraId="5DF30608" w14:textId="1726CB15" w:rsidR="00BB0803" w:rsidRDefault="000B10B0" w:rsidP="007E4D10">
      <w:pPr>
        <w:pStyle w:val="a4"/>
        <w:numPr>
          <w:ilvl w:val="0"/>
          <w:numId w:val="10"/>
        </w:numPr>
        <w:tabs>
          <w:tab w:val="left" w:pos="851"/>
        </w:tabs>
        <w:snapToGrid w:val="0"/>
        <w:spacing w:line="500" w:lineRule="exact"/>
        <w:jc w:val="both"/>
        <w:rPr>
          <w:rFonts w:ascii="Times New Roman" w:eastAsia="新細明體" w:hAnsi="Times New Roman"/>
          <w:bCs/>
          <w:sz w:val="28"/>
          <w:szCs w:val="28"/>
        </w:rPr>
      </w:pPr>
      <w:r w:rsidRPr="007E4D10">
        <w:rPr>
          <w:rFonts w:ascii="Times New Roman" w:eastAsia="新細明體" w:hAnsi="Times New Roman"/>
          <w:bCs/>
          <w:sz w:val="28"/>
          <w:szCs w:val="28"/>
        </w:rPr>
        <w:t xml:space="preserve">The customer, persons acting on behalf of the customer, or the customer's beneficial owner is an individual, legal person, or group related to terrorist activities or terrorism </w:t>
      </w:r>
      <w:r w:rsidRPr="007E4D10">
        <w:rPr>
          <w:rFonts w:ascii="Times New Roman" w:hAnsi="Times New Roman"/>
          <w:sz w:val="28"/>
        </w:rPr>
        <w:t>financing</w:t>
      </w:r>
      <w:r w:rsidRPr="007E4D10">
        <w:rPr>
          <w:rFonts w:ascii="Times New Roman" w:eastAsia="新細明體" w:hAnsi="Times New Roman"/>
          <w:bCs/>
          <w:sz w:val="28"/>
          <w:szCs w:val="28"/>
        </w:rPr>
        <w:t xml:space="preserve"> as advised by the Financial Supervisory Commission based on information provided by foreign governments or international organizations, or a terrorist organization identified or investigated by foreign governments or an international organization against money laundering.</w:t>
      </w:r>
    </w:p>
    <w:p w14:paraId="6E95FE55" w14:textId="220350B3" w:rsidR="007E4D10" w:rsidRDefault="007E4D10" w:rsidP="007E4D10">
      <w:pPr>
        <w:pStyle w:val="a4"/>
        <w:numPr>
          <w:ilvl w:val="0"/>
          <w:numId w:val="10"/>
        </w:numPr>
        <w:tabs>
          <w:tab w:val="left" w:pos="851"/>
        </w:tabs>
        <w:snapToGrid w:val="0"/>
        <w:spacing w:line="500" w:lineRule="exact"/>
        <w:jc w:val="both"/>
        <w:rPr>
          <w:rFonts w:ascii="Times New Roman" w:eastAsia="新細明體" w:hAnsi="Times New Roman"/>
          <w:bCs/>
          <w:sz w:val="28"/>
          <w:szCs w:val="28"/>
        </w:rPr>
      </w:pPr>
      <w:r w:rsidRPr="007E4D10">
        <w:rPr>
          <w:rFonts w:ascii="Times New Roman" w:eastAsia="新細明體" w:hAnsi="Times New Roman"/>
          <w:bCs/>
          <w:sz w:val="28"/>
          <w:szCs w:val="28"/>
        </w:rPr>
        <w:t>Others who are suspected of or have reasonable grounds to be suspected of being associated with terrorist activities, terrorist organizations, or terrorism financing.</w:t>
      </w:r>
    </w:p>
    <w:p w14:paraId="5FA24817" w14:textId="05922AAA" w:rsidR="007E4D10" w:rsidRPr="007E4D10" w:rsidRDefault="007E4D10" w:rsidP="007E4D10">
      <w:pPr>
        <w:pStyle w:val="a4"/>
        <w:numPr>
          <w:ilvl w:val="0"/>
          <w:numId w:val="2"/>
        </w:numPr>
        <w:tabs>
          <w:tab w:val="left" w:pos="851"/>
        </w:tabs>
        <w:snapToGrid w:val="0"/>
        <w:spacing w:line="500" w:lineRule="exact"/>
        <w:ind w:left="851" w:hanging="851"/>
        <w:jc w:val="both"/>
        <w:rPr>
          <w:rFonts w:ascii="Times New Roman" w:hAnsi="Times New Roman"/>
          <w:b/>
          <w:sz w:val="28"/>
        </w:rPr>
      </w:pPr>
      <w:r w:rsidRPr="007E4D10">
        <w:rPr>
          <w:rFonts w:ascii="Times New Roman" w:hAnsi="Times New Roman"/>
          <w:b/>
          <w:sz w:val="28"/>
        </w:rPr>
        <w:lastRenderedPageBreak/>
        <w:t>Related to the</w:t>
      </w:r>
      <w:r w:rsidRPr="007E4D10">
        <w:rPr>
          <w:rFonts w:ascii="Times New Roman" w:hAnsi="Times New Roman" w:hint="eastAsia"/>
          <w:b/>
          <w:sz w:val="28"/>
        </w:rPr>
        <w:t xml:space="preserve"> </w:t>
      </w:r>
      <w:r w:rsidRPr="007E4D10">
        <w:rPr>
          <w:rFonts w:ascii="Times New Roman" w:hAnsi="Times New Roman"/>
          <w:b/>
          <w:sz w:val="28"/>
        </w:rPr>
        <w:t>Proliferation Financing</w:t>
      </w:r>
      <w:r w:rsidRPr="007E4D10">
        <w:rPr>
          <w:rFonts w:ascii="Times New Roman" w:hAnsi="Times New Roman" w:hint="eastAsia"/>
          <w:b/>
          <w:sz w:val="28"/>
        </w:rPr>
        <w:t>:</w:t>
      </w:r>
    </w:p>
    <w:p w14:paraId="034CC5E5" w14:textId="52695156" w:rsidR="007E4D10" w:rsidRPr="007E4D10" w:rsidRDefault="007E4D10" w:rsidP="007E4D10">
      <w:pPr>
        <w:pStyle w:val="a4"/>
        <w:numPr>
          <w:ilvl w:val="0"/>
          <w:numId w:val="11"/>
        </w:numPr>
        <w:tabs>
          <w:tab w:val="left" w:pos="851"/>
        </w:tabs>
        <w:snapToGrid w:val="0"/>
        <w:spacing w:line="500" w:lineRule="exact"/>
        <w:jc w:val="both"/>
        <w:rPr>
          <w:rFonts w:ascii="Times New Roman" w:eastAsia="新細明體" w:hAnsi="Times New Roman"/>
          <w:bCs/>
          <w:sz w:val="28"/>
          <w:szCs w:val="28"/>
        </w:rPr>
      </w:pPr>
      <w:r w:rsidRPr="007E4D10">
        <w:rPr>
          <w:rFonts w:ascii="Times New Roman" w:eastAsia="標楷體" w:hAnsi="Times New Roman"/>
          <w:color w:val="000000"/>
          <w:sz w:val="28"/>
          <w:szCs w:val="28"/>
        </w:rPr>
        <w:t>The customer, persons acting on behalf of the customer, or beneficial owner is an individual, legal person, or group subject to targeted financial sanctions for proliferation financing as advised by the Financial Supervisory Commission based on information provided by foreign governments or international organizations; or is identified or pursued as a proliferation financier by foreign governments or international organizations.</w:t>
      </w:r>
    </w:p>
    <w:p w14:paraId="2929227C" w14:textId="46D35F2F" w:rsidR="007E4D10" w:rsidRPr="007E4D10" w:rsidRDefault="007E4D10" w:rsidP="007E4D10">
      <w:pPr>
        <w:pStyle w:val="a4"/>
        <w:numPr>
          <w:ilvl w:val="0"/>
          <w:numId w:val="11"/>
        </w:numPr>
        <w:tabs>
          <w:tab w:val="left" w:pos="851"/>
        </w:tabs>
        <w:snapToGrid w:val="0"/>
        <w:spacing w:line="500" w:lineRule="exact"/>
        <w:jc w:val="both"/>
        <w:rPr>
          <w:rFonts w:ascii="Times New Roman" w:eastAsia="新細明體" w:hAnsi="Times New Roman"/>
          <w:bCs/>
          <w:sz w:val="28"/>
          <w:szCs w:val="28"/>
        </w:rPr>
      </w:pPr>
      <w:r w:rsidRPr="007E4D10">
        <w:rPr>
          <w:rFonts w:ascii="Times New Roman" w:eastAsia="新細明體" w:hAnsi="Times New Roman"/>
          <w:bCs/>
          <w:sz w:val="28"/>
          <w:szCs w:val="28"/>
        </w:rPr>
        <w:t>Others who are suspected of or have reasonable grounds to be suspected of being associated with proliferation financing.</w:t>
      </w:r>
    </w:p>
    <w:sectPr w:rsidR="007E4D10" w:rsidRPr="007E4D10">
      <w:headerReference w:type="default" r:id="rId7"/>
      <w:footerReference w:type="default" r:id="rId8"/>
      <w:pgSz w:w="11907" w:h="16839"/>
      <w:pgMar w:top="1134" w:right="1134" w:bottom="1134" w:left="1134" w:header="720" w:footer="992" w:gutter="0"/>
      <w:cols w:space="720"/>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9B3832" w14:textId="77777777" w:rsidR="00EF0077" w:rsidRDefault="00EF0077">
      <w:r>
        <w:separator/>
      </w:r>
    </w:p>
  </w:endnote>
  <w:endnote w:type="continuationSeparator" w:id="0">
    <w:p w14:paraId="6E340500" w14:textId="77777777" w:rsidR="00EF0077" w:rsidRDefault="00EF0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swiss"/>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EE4AF" w14:textId="77777777" w:rsidR="00EF0077" w:rsidRDefault="00EF0077">
    <w:pPr>
      <w:pStyle w:val="a5"/>
      <w:jc w:val="center"/>
    </w:pPr>
    <w:r>
      <w:fldChar w:fldCharType="begin"/>
    </w:r>
    <w:r>
      <w:instrText xml:space="preserve"> PAGE </w:instrText>
    </w:r>
    <w:r>
      <w:fldChar w:fldCharType="separate"/>
    </w:r>
    <w:r>
      <w:t>5</w:t>
    </w:r>
    <w:r>
      <w:fldChar w:fldCharType="end"/>
    </w:r>
  </w:p>
  <w:p w14:paraId="5DD7FAE5" w14:textId="77777777" w:rsidR="00EF0077" w:rsidRDefault="00EF007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5D1FA0" w14:textId="77777777" w:rsidR="00EF0077" w:rsidRDefault="00EF0077">
      <w:r>
        <w:rPr>
          <w:color w:val="000000"/>
        </w:rPr>
        <w:separator/>
      </w:r>
    </w:p>
  </w:footnote>
  <w:footnote w:type="continuationSeparator" w:id="0">
    <w:p w14:paraId="0F5570E4" w14:textId="77777777" w:rsidR="00EF0077" w:rsidRDefault="00EF0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70605" w14:textId="764B62AF" w:rsidR="00EF0077" w:rsidRDefault="00EF0077">
    <w:pPr>
      <w:pStyle w:val="a7"/>
    </w:pPr>
    <w:r>
      <w:t>Formulation Date: 20</w:t>
    </w:r>
    <w:r w:rsidR="00F814B8">
      <w:rPr>
        <w:rFonts w:hint="eastAsia"/>
        <w:lang w:eastAsia="zh-TW"/>
      </w:rPr>
      <w:t>20.1.20</w:t>
    </w:r>
  </w:p>
  <w:p w14:paraId="509EA783" w14:textId="77777777" w:rsidR="00EF0077" w:rsidRDefault="00EF0077">
    <w:pPr>
      <w:pStyle w:val="a7"/>
      <w:rPr>
        <w:rFonts w:ascii="新細明體" w:hAnsi="新細明體"/>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74932"/>
    <w:multiLevelType w:val="multilevel"/>
    <w:tmpl w:val="B4162986"/>
    <w:lvl w:ilvl="0">
      <w:start w:val="1"/>
      <w:numFmt w:val="upperRoman"/>
      <w:lvlText w:val="(%1)"/>
      <w:lvlJc w:val="left"/>
      <w:pPr>
        <w:ind w:left="720" w:hanging="720"/>
      </w:pPr>
      <w:rPr>
        <w:rFonts w:ascii="Times New Roman" w:hAnsi="Times New Roman" w:cs="Times New Roman"/>
        <w:strike w:val="0"/>
        <w:dstrike w:val="0"/>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92A2F3E"/>
    <w:multiLevelType w:val="multilevel"/>
    <w:tmpl w:val="F048BF18"/>
    <w:lvl w:ilvl="0">
      <w:start w:val="1"/>
      <w:numFmt w:val="upperRoman"/>
      <w:lvlText w:val="%1."/>
      <w:lvlJc w:val="left"/>
      <w:pPr>
        <w:ind w:left="720" w:hanging="720"/>
      </w:pPr>
      <w:rPr>
        <w:strike w:val="0"/>
        <w:dstrike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ECB2D09"/>
    <w:multiLevelType w:val="multilevel"/>
    <w:tmpl w:val="BDFAC77C"/>
    <w:lvl w:ilvl="0">
      <w:start w:val="1"/>
      <w:numFmt w:val="upperRoman"/>
      <w:lvlText w:val="%1."/>
      <w:lvlJc w:val="left"/>
      <w:pPr>
        <w:ind w:left="720" w:hanging="720"/>
      </w:pPr>
      <w:rPr>
        <w:rFonts w:ascii="Times New Roman" w:hAnsi="Times New Roman" w:cs="Times New Roman"/>
        <w:b/>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13F2815"/>
    <w:multiLevelType w:val="multilevel"/>
    <w:tmpl w:val="25F0CE00"/>
    <w:lvl w:ilvl="0">
      <w:start w:val="1"/>
      <w:numFmt w:val="upperRoman"/>
      <w:lvlText w:val="(%1)"/>
      <w:lvlJc w:val="left"/>
      <w:pPr>
        <w:ind w:left="720" w:hanging="720"/>
      </w:pPr>
      <w:rPr>
        <w:rFonts w:hint="eastAsia"/>
        <w:strike w:val="0"/>
        <w:dstrike w:val="0"/>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 w15:restartNumberingAfterBreak="0">
    <w:nsid w:val="285F729E"/>
    <w:multiLevelType w:val="multilevel"/>
    <w:tmpl w:val="3134F902"/>
    <w:lvl w:ilvl="0">
      <w:start w:val="1"/>
      <w:numFmt w:val="upperRoman"/>
      <w:lvlText w:val="%1."/>
      <w:lvlJc w:val="left"/>
      <w:pPr>
        <w:ind w:left="720" w:hanging="720"/>
      </w:pPr>
      <w:rPr>
        <w:rFonts w:hint="eastAsia"/>
        <w:strike w:val="0"/>
        <w:dstrike w:val="0"/>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 w15:restartNumberingAfterBreak="0">
    <w:nsid w:val="2BB73E1E"/>
    <w:multiLevelType w:val="multilevel"/>
    <w:tmpl w:val="7472CF3E"/>
    <w:lvl w:ilvl="0">
      <w:start w:val="1"/>
      <w:numFmt w:val="upperRoman"/>
      <w:lvlText w:val="(%1)"/>
      <w:lvlJc w:val="left"/>
      <w:pPr>
        <w:ind w:left="720" w:hanging="720"/>
      </w:pPr>
      <w:rPr>
        <w:rFonts w:hint="eastAsia"/>
        <w:strike w:val="0"/>
        <w:dstrike w:val="0"/>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 w15:restartNumberingAfterBreak="0">
    <w:nsid w:val="35E54EDF"/>
    <w:multiLevelType w:val="multilevel"/>
    <w:tmpl w:val="02BA1030"/>
    <w:styleLink w:val="LFO1"/>
    <w:lvl w:ilvl="0">
      <w:start w:val="1"/>
      <w:numFmt w:val="taiwaneseCountingThousand"/>
      <w:pStyle w:val="a"/>
      <w:lvlText w:val="%1、"/>
      <w:lvlJc w:val="left"/>
      <w:pPr>
        <w:ind w:left="652" w:hanging="652"/>
      </w:pPr>
      <w:rPr>
        <w:rFonts w:ascii="標楷體" w:eastAsia="標楷體" w:hAnsi="標楷體"/>
        <w:b w:val="0"/>
        <w:i w:val="0"/>
        <w:sz w:val="24"/>
        <w:szCs w:val="24"/>
      </w:rPr>
    </w:lvl>
    <w:lvl w:ilvl="1">
      <w:start w:val="1"/>
      <w:numFmt w:val="taiwaneseCountingThousand"/>
      <w:lvlText w:val="(%2)"/>
      <w:lvlJc w:val="left"/>
      <w:pPr>
        <w:ind w:left="1078" w:hanging="652"/>
      </w:pPr>
      <w:rPr>
        <w:rFonts w:ascii="標楷體" w:eastAsia="標楷體" w:hAnsi="標楷體"/>
        <w:b w:val="0"/>
        <w:i w:val="0"/>
        <w:sz w:val="24"/>
        <w:szCs w:val="24"/>
      </w:rPr>
    </w:lvl>
    <w:lvl w:ilvl="2">
      <w:start w:val="1"/>
      <w:numFmt w:val="decimalFullWidth"/>
      <w:lvlText w:val="%3、"/>
      <w:lvlJc w:val="left"/>
      <w:pPr>
        <w:ind w:left="1293" w:hanging="641"/>
      </w:pPr>
      <w:rPr>
        <w:rFonts w:ascii="Arial Unicode MS" w:eastAsia="Arial Unicode MS" w:hAnsi="Arial Unicode MS" w:cs="Times New Roman"/>
        <w:b w:val="0"/>
        <w:i w:val="0"/>
        <w:sz w:val="32"/>
        <w:lang w:val="en-US"/>
      </w:rPr>
    </w:lvl>
    <w:lvl w:ilvl="3">
      <w:start w:val="1"/>
      <w:numFmt w:val="decimalFullWidth"/>
      <w:lvlText w:val="(%4)"/>
      <w:lvlJc w:val="left"/>
      <w:pPr>
        <w:ind w:left="1616" w:hanging="641"/>
      </w:pPr>
      <w:rPr>
        <w:rFonts w:ascii="標楷體" w:eastAsia="標楷體" w:hAnsi="標楷體"/>
        <w:b w:val="0"/>
        <w:i w:val="0"/>
        <w:sz w:val="32"/>
      </w:rPr>
    </w:lvl>
    <w:lvl w:ilvl="4">
      <w:start w:val="1"/>
      <w:numFmt w:val="ideographTraditional"/>
      <w:lvlText w:val="%5、"/>
      <w:lvlJc w:val="left"/>
      <w:pPr>
        <w:ind w:left="1928" w:hanging="635"/>
      </w:pPr>
      <w:rPr>
        <w:rFonts w:ascii="標楷體" w:eastAsia="標楷體" w:hAnsi="標楷體"/>
        <w:b w:val="0"/>
        <w:i w:val="0"/>
        <w:sz w:val="32"/>
      </w:rPr>
    </w:lvl>
    <w:lvl w:ilvl="5">
      <w:start w:val="5"/>
      <w:numFmt w:val="taiwaneseCountingThousand"/>
      <w:lvlText w:val="（%6)、"/>
      <w:lvlJc w:val="left"/>
      <w:pPr>
        <w:ind w:left="3600" w:hanging="3061"/>
      </w:pPr>
    </w:lvl>
    <w:lvl w:ilvl="6">
      <w:start w:val="1"/>
      <w:numFmt w:val="none"/>
      <w:lvlText w:val="%7"/>
      <w:lvlJc w:val="left"/>
      <w:pPr>
        <w:ind w:left="3600" w:hanging="3061"/>
      </w:pPr>
    </w:lvl>
    <w:lvl w:ilvl="7">
      <w:start w:val="1"/>
      <w:numFmt w:val="none"/>
      <w:lvlText w:val="%8"/>
      <w:lvlJc w:val="left"/>
      <w:pPr>
        <w:ind w:left="4082" w:hanging="1418"/>
      </w:pPr>
    </w:lvl>
    <w:lvl w:ilvl="8">
      <w:start w:val="1"/>
      <w:numFmt w:val="none"/>
      <w:lvlText w:val="%9"/>
      <w:lvlJc w:val="left"/>
      <w:pPr>
        <w:ind w:left="4790" w:hanging="1700"/>
      </w:pPr>
    </w:lvl>
  </w:abstractNum>
  <w:abstractNum w:abstractNumId="7" w15:restartNumberingAfterBreak="0">
    <w:nsid w:val="4A136E3C"/>
    <w:multiLevelType w:val="multilevel"/>
    <w:tmpl w:val="88C8F046"/>
    <w:lvl w:ilvl="0">
      <w:start w:val="1"/>
      <w:numFmt w:val="decim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4BC21390"/>
    <w:multiLevelType w:val="multilevel"/>
    <w:tmpl w:val="3B2C5D0C"/>
    <w:lvl w:ilvl="0">
      <w:start w:val="1"/>
      <w:numFmt w:val="decimal"/>
      <w:lvlText w:val="%1."/>
      <w:lvlJc w:val="left"/>
      <w:pPr>
        <w:ind w:left="720" w:hanging="720"/>
      </w:pPr>
      <w:rPr>
        <w:rFonts w:ascii="Times New Roman" w:hAnsi="Times New Roman" w:cs="Times New Roman"/>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4D934BE4"/>
    <w:multiLevelType w:val="multilevel"/>
    <w:tmpl w:val="D77E8A0E"/>
    <w:lvl w:ilvl="0">
      <w:start w:val="1"/>
      <w:numFmt w:val="upperRoman"/>
      <w:lvlText w:val="(%1)"/>
      <w:lvlJc w:val="left"/>
      <w:pPr>
        <w:ind w:left="720" w:hanging="720"/>
      </w:pPr>
      <w:rPr>
        <w:rFonts w:hint="eastAsia"/>
        <w:strike w:val="0"/>
        <w:dstrike w:val="0"/>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 w15:restartNumberingAfterBreak="0">
    <w:nsid w:val="77AA0E42"/>
    <w:multiLevelType w:val="multilevel"/>
    <w:tmpl w:val="6150B3E4"/>
    <w:lvl w:ilvl="0">
      <w:start w:val="1"/>
      <w:numFmt w:val="upperRoman"/>
      <w:lvlText w:val="(%1)"/>
      <w:lvlJc w:val="left"/>
      <w:pPr>
        <w:ind w:left="720" w:hanging="720"/>
      </w:pPr>
      <w:rPr>
        <w:strike w:val="0"/>
        <w:dstrike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631444014">
    <w:abstractNumId w:val="6"/>
  </w:num>
  <w:num w:numId="2" w16cid:durableId="913856961">
    <w:abstractNumId w:val="2"/>
  </w:num>
  <w:num w:numId="3" w16cid:durableId="643238779">
    <w:abstractNumId w:val="0"/>
  </w:num>
  <w:num w:numId="4" w16cid:durableId="1917128003">
    <w:abstractNumId w:val="10"/>
  </w:num>
  <w:num w:numId="5" w16cid:durableId="891423866">
    <w:abstractNumId w:val="7"/>
  </w:num>
  <w:num w:numId="6" w16cid:durableId="301615961">
    <w:abstractNumId w:val="8"/>
  </w:num>
  <w:num w:numId="7" w16cid:durableId="841772538">
    <w:abstractNumId w:val="1"/>
  </w:num>
  <w:num w:numId="8" w16cid:durableId="1047796905">
    <w:abstractNumId w:val="4"/>
  </w:num>
  <w:num w:numId="9" w16cid:durableId="9914930">
    <w:abstractNumId w:val="5"/>
  </w:num>
  <w:num w:numId="10" w16cid:durableId="1734083662">
    <w:abstractNumId w:val="9"/>
  </w:num>
  <w:num w:numId="11" w16cid:durableId="11256135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proofState w:spelling="clean" w:grammar="clean"/>
  <w:attachedTemplate r:id="rId1"/>
  <w:defaultTabStop w:val="5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BB0803"/>
    <w:rsid w:val="000B10B0"/>
    <w:rsid w:val="00186FB1"/>
    <w:rsid w:val="00373E0E"/>
    <w:rsid w:val="006115D0"/>
    <w:rsid w:val="007E4D10"/>
    <w:rsid w:val="00B67456"/>
    <w:rsid w:val="00BB0803"/>
    <w:rsid w:val="00EF0077"/>
    <w:rsid w:val="00F814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E9E2C"/>
  <w15:docId w15:val="{4AFE39B3-54DF-4F9A-83D0-0166C6043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uppressAutoHyphens/>
    </w:pPr>
    <w:rPr>
      <w:kern w:val="3"/>
      <w:sz w:val="24"/>
      <w:szCs w:val="24"/>
      <w:lang w:eastAsia="en-U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rPr>
      <w:rFonts w:ascii="細明體" w:eastAsia="細明體" w:hAnsi="細明體"/>
    </w:rPr>
  </w:style>
  <w:style w:type="paragraph" w:styleId="a5">
    <w:name w:val="footer"/>
    <w:basedOn w:val="a0"/>
    <w:pPr>
      <w:tabs>
        <w:tab w:val="center" w:pos="4153"/>
        <w:tab w:val="right" w:pos="8306"/>
      </w:tabs>
      <w:snapToGrid w:val="0"/>
    </w:pPr>
    <w:rPr>
      <w:sz w:val="20"/>
      <w:szCs w:val="20"/>
    </w:rPr>
  </w:style>
  <w:style w:type="character" w:styleId="a6">
    <w:name w:val="page number"/>
    <w:basedOn w:val="a1"/>
  </w:style>
  <w:style w:type="paragraph" w:styleId="a7">
    <w:name w:val="header"/>
    <w:basedOn w:val="a0"/>
    <w:pPr>
      <w:tabs>
        <w:tab w:val="center" w:pos="4153"/>
        <w:tab w:val="right" w:pos="8306"/>
      </w:tabs>
      <w:snapToGrid w:val="0"/>
    </w:pPr>
    <w:rPr>
      <w:sz w:val="20"/>
      <w:szCs w:val="20"/>
    </w:rPr>
  </w:style>
  <w:style w:type="paragraph" w:styleId="a8">
    <w:name w:val="Body Text Indent"/>
    <w:basedOn w:val="a0"/>
    <w:pPr>
      <w:ind w:left="1200" w:hanging="720"/>
    </w:pPr>
  </w:style>
  <w:style w:type="paragraph" w:styleId="a9">
    <w:name w:val="Date"/>
    <w:basedOn w:val="a0"/>
    <w:next w:val="a0"/>
    <w:pPr>
      <w:jc w:val="right"/>
    </w:pPr>
  </w:style>
  <w:style w:type="paragraph" w:styleId="aa">
    <w:name w:val="Balloon Text"/>
    <w:basedOn w:val="a0"/>
    <w:rPr>
      <w:rFonts w:ascii="Arial" w:hAnsi="Arial"/>
      <w:sz w:val="18"/>
      <w:szCs w:val="18"/>
    </w:rPr>
  </w:style>
  <w:style w:type="paragraph" w:customStyle="1" w:styleId="ab">
    <w:name w:val="公文(主旨)"/>
    <w:basedOn w:val="a0"/>
    <w:next w:val="a0"/>
    <w:pPr>
      <w:widowControl/>
      <w:ind w:left="958" w:hanging="958"/>
    </w:pPr>
    <w:rPr>
      <w:rFonts w:eastAsia="標楷體"/>
      <w:sz w:val="32"/>
      <w:szCs w:val="20"/>
      <w:lang w:bidi="he-IL"/>
    </w:rPr>
  </w:style>
  <w:style w:type="paragraph" w:customStyle="1" w:styleId="Char">
    <w:name w:val="Char"/>
    <w:basedOn w:val="a0"/>
    <w:pPr>
      <w:widowControl/>
      <w:spacing w:after="160" w:line="240" w:lineRule="exact"/>
    </w:pPr>
    <w:rPr>
      <w:rFonts w:ascii="Verdana" w:eastAsia="標楷體" w:hAnsi="Verdana"/>
      <w:sz w:val="20"/>
      <w:szCs w:val="20"/>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sz w:val="20"/>
      <w:szCs w:val="20"/>
    </w:rPr>
  </w:style>
  <w:style w:type="character" w:customStyle="1" w:styleId="HTML0">
    <w:name w:val="HTML 預設格式 字元"/>
    <w:rPr>
      <w:rFonts w:ascii="細明體" w:eastAsia="細明體" w:hAnsi="細明體" w:cs="Courier New"/>
      <w:lang w:val="en-US" w:eastAsia="en-US"/>
    </w:rPr>
  </w:style>
  <w:style w:type="character" w:customStyle="1" w:styleId="ac">
    <w:name w:val="純文字 字元"/>
    <w:rPr>
      <w:rFonts w:ascii="細明體" w:eastAsia="細明體" w:hAnsi="細明體" w:cs="Courier New"/>
      <w:kern w:val="3"/>
      <w:sz w:val="24"/>
      <w:szCs w:val="24"/>
      <w:lang w:val="en-US" w:eastAsia="en-US"/>
    </w:rPr>
  </w:style>
  <w:style w:type="character" w:styleId="ad">
    <w:name w:val="Hyperlink"/>
    <w:rPr>
      <w:color w:val="0000FF"/>
      <w:u w:val="single"/>
      <w:lang w:val="en-US" w:eastAsia="en-US"/>
    </w:rPr>
  </w:style>
  <w:style w:type="character" w:customStyle="1" w:styleId="ae">
    <w:name w:val="頁尾 字元"/>
    <w:rPr>
      <w:kern w:val="3"/>
      <w:lang w:val="en-US" w:eastAsia="en-US"/>
    </w:rPr>
  </w:style>
  <w:style w:type="character" w:customStyle="1" w:styleId="af">
    <w:name w:val="頁首 字元"/>
    <w:rPr>
      <w:kern w:val="3"/>
      <w:lang w:val="en-US" w:eastAsia="en-US"/>
    </w:rPr>
  </w:style>
  <w:style w:type="character" w:styleId="af0">
    <w:name w:val="annotation reference"/>
    <w:rPr>
      <w:sz w:val="18"/>
      <w:szCs w:val="18"/>
      <w:lang w:val="en-US" w:eastAsia="en-US"/>
    </w:rPr>
  </w:style>
  <w:style w:type="paragraph" w:styleId="af1">
    <w:name w:val="annotation text"/>
    <w:basedOn w:val="a0"/>
  </w:style>
  <w:style w:type="character" w:customStyle="1" w:styleId="af2">
    <w:name w:val="註解文字 字元"/>
    <w:rPr>
      <w:kern w:val="3"/>
      <w:sz w:val="24"/>
      <w:szCs w:val="24"/>
      <w:lang w:val="en-US" w:eastAsia="en-US"/>
    </w:rPr>
  </w:style>
  <w:style w:type="paragraph" w:styleId="af3">
    <w:name w:val="annotation subject"/>
    <w:basedOn w:val="af1"/>
    <w:next w:val="af1"/>
    <w:rPr>
      <w:b/>
      <w:bCs/>
    </w:rPr>
  </w:style>
  <w:style w:type="character" w:customStyle="1" w:styleId="af4">
    <w:name w:val="註解主旨 字元"/>
    <w:rPr>
      <w:b/>
      <w:bCs/>
      <w:kern w:val="3"/>
      <w:sz w:val="24"/>
      <w:szCs w:val="24"/>
      <w:lang w:val="en-US" w:eastAsia="en-US"/>
    </w:rPr>
  </w:style>
  <w:style w:type="paragraph" w:styleId="af5">
    <w:name w:val="List Paragraph"/>
    <w:basedOn w:val="a0"/>
    <w:pPr>
      <w:ind w:left="480"/>
    </w:pPr>
  </w:style>
  <w:style w:type="paragraph" w:customStyle="1" w:styleId="a">
    <w:name w:val="分項段落"/>
    <w:basedOn w:val="a0"/>
    <w:pPr>
      <w:numPr>
        <w:numId w:val="1"/>
      </w:numPr>
      <w:snapToGrid w:val="0"/>
    </w:pPr>
    <w:rPr>
      <w:rFonts w:eastAsia="標楷體"/>
      <w:sz w:val="32"/>
      <w:szCs w:val="20"/>
    </w:rPr>
  </w:style>
  <w:style w:type="character" w:styleId="af6">
    <w:name w:val="Emphasis"/>
    <w:rPr>
      <w:color w:val="DD4B39"/>
      <w:lang w:val="en-US" w:eastAsia="en-US"/>
    </w:rPr>
  </w:style>
  <w:style w:type="character" w:customStyle="1" w:styleId="st1">
    <w:name w:val="st1"/>
  </w:style>
  <w:style w:type="numbering" w:customStyle="1" w:styleId="LFO1">
    <w:name w:val="LFO1"/>
    <w:basedOn w:val="a3"/>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6</Pages>
  <Words>1364</Words>
  <Characters>7780</Characters>
  <Application>Microsoft Office Word</Application>
  <DocSecurity>0</DocSecurity>
  <Lines>64</Lines>
  <Paragraphs>18</Paragraphs>
  <ScaleCrop>false</ScaleCrop>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銀行防制洗錢及打擊資恐注意事項範本附錄</dc:title>
  <dc:creator>BAROC</dc:creator>
  <cp:lastModifiedBy>SITCA</cp:lastModifiedBy>
  <cp:revision>5</cp:revision>
  <cp:lastPrinted>2017-10-31T06:44:00Z</cp:lastPrinted>
  <dcterms:created xsi:type="dcterms:W3CDTF">2024-11-19T00:45:00Z</dcterms:created>
  <dcterms:modified xsi:type="dcterms:W3CDTF">2024-11-19T06:02:00Z</dcterms:modified>
</cp:coreProperties>
</file>