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76" w:rsidRPr="001031B3" w:rsidRDefault="006B60A6" w:rsidP="00700E76">
      <w:pPr>
        <w:tabs>
          <w:tab w:val="left" w:pos="1134"/>
          <w:tab w:val="left" w:pos="1276"/>
          <w:tab w:val="left" w:pos="1418"/>
        </w:tabs>
        <w:snapToGrid w:val="0"/>
        <w:spacing w:line="360" w:lineRule="exact"/>
        <w:jc w:val="right"/>
        <w:rPr>
          <w:sz w:val="16"/>
          <w:szCs w:val="16"/>
        </w:rPr>
      </w:pPr>
      <w:bookmarkStart w:id="0" w:name="_GoBack"/>
      <w:bookmarkEnd w:id="0"/>
      <w:r w:rsidRPr="001031B3">
        <w:rPr>
          <w:sz w:val="16"/>
          <w:szCs w:val="16"/>
        </w:rPr>
        <w:t>[Appendix] 2017/</w:t>
      </w:r>
      <w:r w:rsidR="00700E76" w:rsidRPr="001031B3">
        <w:rPr>
          <w:rFonts w:hint="eastAsia"/>
          <w:sz w:val="16"/>
          <w:szCs w:val="16"/>
        </w:rPr>
        <w:t>11</w:t>
      </w:r>
    </w:p>
    <w:p w:rsidR="000D3744" w:rsidRPr="001031B3" w:rsidRDefault="00A47F55" w:rsidP="00700E76">
      <w:pPr>
        <w:tabs>
          <w:tab w:val="left" w:pos="1134"/>
          <w:tab w:val="left" w:pos="1276"/>
          <w:tab w:val="left" w:pos="1418"/>
        </w:tabs>
        <w:snapToGrid w:val="0"/>
        <w:spacing w:line="360" w:lineRule="exact"/>
        <w:jc w:val="center"/>
        <w:rPr>
          <w:rFonts w:eastAsiaTheme="minorEastAsia"/>
          <w:b/>
        </w:rPr>
      </w:pPr>
      <w:r w:rsidRPr="001031B3">
        <w:rPr>
          <w:b/>
        </w:rPr>
        <w:t>Red Flags for</w:t>
      </w:r>
      <w:r w:rsidR="000D3744" w:rsidRPr="001031B3">
        <w:rPr>
          <w:b/>
        </w:rPr>
        <w:t xml:space="preserve"> Transactions </w:t>
      </w:r>
      <w:r w:rsidRPr="001031B3">
        <w:rPr>
          <w:b/>
        </w:rPr>
        <w:t>Suspected to Involve</w:t>
      </w:r>
      <w:r w:rsidR="000D3744" w:rsidRPr="001031B3">
        <w:rPr>
          <w:b/>
        </w:rPr>
        <w:t xml:space="preserve"> Money Laundering or Terrorism Financing </w:t>
      </w:r>
      <w:r w:rsidRPr="001031B3">
        <w:rPr>
          <w:b/>
        </w:rPr>
        <w:t>(</w:t>
      </w:r>
      <w:r w:rsidR="000D3744" w:rsidRPr="001031B3">
        <w:rPr>
          <w:b/>
        </w:rPr>
        <w:t>Futures Commission Merchants and Leverage Transaction Merchants</w:t>
      </w:r>
      <w:r w:rsidR="000D3744" w:rsidRPr="001031B3">
        <w:rPr>
          <w:b/>
        </w:rPr>
        <w:tab/>
      </w:r>
      <w:r w:rsidRPr="001031B3">
        <w:rPr>
          <w:b/>
        </w:rPr>
        <w:t>)</w:t>
      </w:r>
    </w:p>
    <w:p w:rsidR="001B1E0B" w:rsidRPr="001031B3" w:rsidRDefault="001B1E0B" w:rsidP="00700E76">
      <w:pPr>
        <w:pStyle w:val="a"/>
        <w:numPr>
          <w:ilvl w:val="0"/>
          <w:numId w:val="5"/>
        </w:numPr>
        <w:tabs>
          <w:tab w:val="left" w:pos="567"/>
        </w:tabs>
        <w:spacing w:beforeLines="50" w:before="180" w:line="360" w:lineRule="exact"/>
        <w:ind w:left="482" w:hanging="482"/>
        <w:rPr>
          <w:rFonts w:eastAsiaTheme="minorEastAsia"/>
          <w:sz w:val="24"/>
          <w:szCs w:val="24"/>
        </w:rPr>
      </w:pPr>
      <w:r w:rsidRPr="001031B3">
        <w:rPr>
          <w:b/>
          <w:sz w:val="24"/>
          <w:szCs w:val="24"/>
        </w:rPr>
        <w:t>Related to customer accounts:</w:t>
      </w:r>
    </w:p>
    <w:p w:rsidR="00B343E2" w:rsidRPr="001031B3" w:rsidRDefault="000D5611" w:rsidP="00700E76">
      <w:pPr>
        <w:pStyle w:val="a4"/>
        <w:numPr>
          <w:ilvl w:val="2"/>
          <w:numId w:val="10"/>
        </w:numPr>
        <w:snapToGrid w:val="0"/>
        <w:spacing w:line="360" w:lineRule="exact"/>
        <w:ind w:leftChars="0" w:left="727" w:hangingChars="303" w:hanging="727"/>
        <w:jc w:val="both"/>
        <w:rPr>
          <w:rFonts w:eastAsiaTheme="minorEastAsia"/>
        </w:rPr>
      </w:pPr>
      <w:r w:rsidRPr="001031B3">
        <w:t>The trader opens multiple accounts without justifiable reason, and the beneficial owner of the accounts is the same person.</w:t>
      </w:r>
    </w:p>
    <w:p w:rsidR="001B1E0B" w:rsidRPr="001031B3" w:rsidRDefault="001B1E0B" w:rsidP="00700E76">
      <w:pPr>
        <w:pStyle w:val="a4"/>
        <w:numPr>
          <w:ilvl w:val="2"/>
          <w:numId w:val="10"/>
        </w:numPr>
        <w:snapToGrid w:val="0"/>
        <w:spacing w:line="360" w:lineRule="exact"/>
        <w:ind w:leftChars="0" w:left="727" w:hangingChars="303" w:hanging="727"/>
        <w:jc w:val="both"/>
        <w:rPr>
          <w:rFonts w:eastAsiaTheme="minorEastAsia"/>
        </w:rPr>
      </w:pPr>
      <w:r w:rsidRPr="001031B3">
        <w:t>Multiple accounts are opened under the names of different companies, but the companies share an identical statutory representative or authorized signatory.</w:t>
      </w:r>
    </w:p>
    <w:p w:rsidR="00B343E2" w:rsidRPr="001031B3" w:rsidRDefault="00B343E2" w:rsidP="00700E76">
      <w:pPr>
        <w:pStyle w:val="a4"/>
        <w:numPr>
          <w:ilvl w:val="2"/>
          <w:numId w:val="10"/>
        </w:numPr>
        <w:snapToGrid w:val="0"/>
        <w:spacing w:line="360" w:lineRule="exact"/>
        <w:ind w:leftChars="0" w:left="727" w:hangingChars="303" w:hanging="727"/>
        <w:jc w:val="both"/>
        <w:rPr>
          <w:rFonts w:eastAsiaTheme="minorEastAsia"/>
        </w:rPr>
      </w:pPr>
      <w:r w:rsidRPr="001031B3">
        <w:t>Identical contact information, such as address or phone number, is given for accounts of multiple different customers, but no obvious relationship between the customers can be seen based on the other information given (such as names, ages, places of residence, phone numbers).</w:t>
      </w:r>
    </w:p>
    <w:p w:rsidR="00B343E2" w:rsidRPr="001031B3" w:rsidRDefault="00B343E2" w:rsidP="00700E76">
      <w:pPr>
        <w:pStyle w:val="a4"/>
        <w:numPr>
          <w:ilvl w:val="2"/>
          <w:numId w:val="10"/>
        </w:numPr>
        <w:snapToGrid w:val="0"/>
        <w:spacing w:line="360" w:lineRule="exact"/>
        <w:ind w:leftChars="0" w:left="727" w:hangingChars="303" w:hanging="727"/>
        <w:jc w:val="both"/>
        <w:rPr>
          <w:rFonts w:eastAsiaTheme="minorEastAsia"/>
        </w:rPr>
      </w:pPr>
      <w:r w:rsidRPr="001031B3">
        <w:t>The customer refuses to provide information requested for no legitimate reason, or refuses to comply with due diligence or continuous monitoring procedures.</w:t>
      </w:r>
    </w:p>
    <w:p w:rsidR="00B343E2" w:rsidRPr="001031B3" w:rsidRDefault="00544186" w:rsidP="00700E76">
      <w:pPr>
        <w:pStyle w:val="a4"/>
        <w:numPr>
          <w:ilvl w:val="2"/>
          <w:numId w:val="10"/>
        </w:numPr>
        <w:snapToGrid w:val="0"/>
        <w:spacing w:line="360" w:lineRule="exact"/>
        <w:ind w:leftChars="0" w:left="727" w:hangingChars="303" w:hanging="727"/>
        <w:jc w:val="both"/>
        <w:rPr>
          <w:rFonts w:eastAsiaTheme="minorEastAsia"/>
        </w:rPr>
      </w:pPr>
      <w:r w:rsidRPr="001031B3">
        <w:t>The customer is unable to provide reasonable explanations when its address or workplace is too far from the futures commission merchant or leverage transaction merchant, and the circumstances of its transactions are obviously unusual.</w:t>
      </w:r>
    </w:p>
    <w:p w:rsidR="00B343E2" w:rsidRPr="001031B3" w:rsidRDefault="00B343E2" w:rsidP="00700E76">
      <w:pPr>
        <w:pStyle w:val="a4"/>
        <w:numPr>
          <w:ilvl w:val="2"/>
          <w:numId w:val="10"/>
        </w:numPr>
        <w:snapToGrid w:val="0"/>
        <w:spacing w:line="360" w:lineRule="exact"/>
        <w:ind w:leftChars="0" w:left="727" w:hangingChars="303" w:hanging="727"/>
        <w:jc w:val="both"/>
        <w:rPr>
          <w:rFonts w:eastAsiaTheme="minorEastAsia"/>
        </w:rPr>
      </w:pPr>
      <w:r w:rsidRPr="001031B3">
        <w:t>Frequent changes are made to the customer’s personal information, such as address, phone number, or occupation, but there is no clear evidence to prove that the changes are factual or with reason.</w:t>
      </w:r>
    </w:p>
    <w:p w:rsidR="00B343E2" w:rsidRPr="001031B3" w:rsidRDefault="00B343E2" w:rsidP="00700E76">
      <w:pPr>
        <w:pStyle w:val="a4"/>
        <w:numPr>
          <w:ilvl w:val="2"/>
          <w:numId w:val="10"/>
        </w:numPr>
        <w:snapToGrid w:val="0"/>
        <w:spacing w:line="360" w:lineRule="exact"/>
        <w:ind w:leftChars="0" w:left="727" w:hangingChars="303" w:hanging="727"/>
        <w:jc w:val="both"/>
        <w:rPr>
          <w:rFonts w:eastAsiaTheme="minorEastAsia"/>
        </w:rPr>
      </w:pPr>
      <w:r w:rsidRPr="001031B3">
        <w:t>The customer intentionally uses illegible (illegal) or disguised (fraudulent) handwriting to fill out the application form or fill in information that is false, difficult to verify, or invalid.</w:t>
      </w:r>
    </w:p>
    <w:p w:rsidR="00B343E2" w:rsidRPr="001031B3" w:rsidRDefault="00B343E2" w:rsidP="00700E76">
      <w:pPr>
        <w:pStyle w:val="a4"/>
        <w:numPr>
          <w:ilvl w:val="2"/>
          <w:numId w:val="10"/>
        </w:numPr>
        <w:snapToGrid w:val="0"/>
        <w:spacing w:line="360" w:lineRule="exact"/>
        <w:ind w:leftChars="0" w:left="727" w:hangingChars="303" w:hanging="727"/>
        <w:jc w:val="both"/>
        <w:rPr>
          <w:rFonts w:eastAsiaTheme="minorEastAsia"/>
        </w:rPr>
      </w:pPr>
      <w:r w:rsidRPr="001031B3">
        <w:t>The applicant attempts to bribe or threaten personnel, intends to provide incomplete content on the application form, or attempts to coerce the employed personnel into accepting incomplete or erroneous information.</w:t>
      </w:r>
    </w:p>
    <w:p w:rsidR="00B343E2" w:rsidRPr="001031B3" w:rsidRDefault="00B343E2" w:rsidP="00700E76">
      <w:pPr>
        <w:pStyle w:val="a4"/>
        <w:numPr>
          <w:ilvl w:val="2"/>
          <w:numId w:val="10"/>
        </w:numPr>
        <w:snapToGrid w:val="0"/>
        <w:spacing w:line="360" w:lineRule="exact"/>
        <w:ind w:leftChars="0" w:left="727" w:hangingChars="303" w:hanging="727"/>
        <w:jc w:val="both"/>
        <w:rPr>
          <w:rFonts w:eastAsiaTheme="minorEastAsia"/>
        </w:rPr>
      </w:pPr>
      <w:r w:rsidRPr="001031B3">
        <w:t>The applicant is a politically exposed person, and attempts to evade filling in the application form correctly and completely, or does not fully prove the legitimacy of his/her sources of funds.</w:t>
      </w:r>
    </w:p>
    <w:p w:rsidR="00544186" w:rsidRPr="001031B3" w:rsidRDefault="00544186" w:rsidP="00700E76">
      <w:pPr>
        <w:pStyle w:val="a4"/>
        <w:numPr>
          <w:ilvl w:val="2"/>
          <w:numId w:val="10"/>
        </w:numPr>
        <w:snapToGrid w:val="0"/>
        <w:spacing w:line="360" w:lineRule="exact"/>
        <w:ind w:leftChars="0" w:left="727" w:hangingChars="303" w:hanging="727"/>
        <w:jc w:val="both"/>
        <w:rPr>
          <w:rFonts w:eastAsiaTheme="minorEastAsia"/>
        </w:rPr>
      </w:pPr>
      <w:r w:rsidRPr="001031B3">
        <w:t xml:space="preserve">The customer is from a country or region with high money laundering or terrorism financing risk, or a country or region with high tax avoidance risks or strict financial confidentiality, as advised by international AML organizations. </w:t>
      </w:r>
    </w:p>
    <w:p w:rsidR="00DE15CD" w:rsidRPr="001031B3" w:rsidRDefault="00DE15CD" w:rsidP="00700E76">
      <w:pPr>
        <w:pStyle w:val="a4"/>
        <w:numPr>
          <w:ilvl w:val="2"/>
          <w:numId w:val="10"/>
        </w:numPr>
        <w:tabs>
          <w:tab w:val="left" w:pos="851"/>
        </w:tabs>
        <w:snapToGrid w:val="0"/>
        <w:spacing w:line="360" w:lineRule="exact"/>
        <w:ind w:leftChars="0" w:left="727" w:hangingChars="303" w:hanging="727"/>
        <w:jc w:val="both"/>
        <w:rPr>
          <w:rFonts w:eastAsiaTheme="minorEastAsia"/>
        </w:rPr>
      </w:pPr>
      <w:r w:rsidRPr="001031B3">
        <w:t xml:space="preserve">The customer, </w:t>
      </w:r>
      <w:r w:rsidR="001162EE" w:rsidRPr="001031B3">
        <w:t>person acting on behalf of the customer</w:t>
      </w:r>
      <w:r w:rsidRPr="001031B3">
        <w:t xml:space="preserve">, clearing participant, or beneficial owner is a terrorist or terrorist group as advised by the FSC based on information provided by foreign governments, or a terrorist organization identified or investigated by an international organization against money </w:t>
      </w:r>
      <w:r w:rsidRPr="001031B3">
        <w:lastRenderedPageBreak/>
        <w:t>laundering; or the transaction is suspected or reasonably suspected of being associated with terrorist activities, terrorist organizations, or terrorism financing.</w:t>
      </w:r>
    </w:p>
    <w:p w:rsidR="00DE15CD" w:rsidRPr="001031B3" w:rsidRDefault="00DE15CD" w:rsidP="00700E76">
      <w:pPr>
        <w:pStyle w:val="a4"/>
        <w:numPr>
          <w:ilvl w:val="2"/>
          <w:numId w:val="10"/>
        </w:numPr>
        <w:tabs>
          <w:tab w:val="left" w:pos="851"/>
        </w:tabs>
        <w:snapToGrid w:val="0"/>
        <w:spacing w:line="360" w:lineRule="exact"/>
        <w:ind w:leftChars="0" w:left="727" w:hangingChars="303" w:hanging="727"/>
        <w:jc w:val="both"/>
        <w:rPr>
          <w:rFonts w:eastAsiaTheme="minorEastAsia"/>
        </w:rPr>
      </w:pPr>
      <w:r w:rsidRPr="001031B3">
        <w:t>The customer is introduced by an overseas bank, affiliate company, foreign brokerage, or other investors, and the customer and the person who introduced the customer are both from jurisdictions that have not complied or have not fully complied with FATF Recommendations or from other high-risk countries or regions.</w:t>
      </w:r>
    </w:p>
    <w:p w:rsidR="00DE15CD" w:rsidRPr="001031B3" w:rsidRDefault="00DE15CD" w:rsidP="00700E76">
      <w:pPr>
        <w:snapToGrid w:val="0"/>
        <w:spacing w:line="360" w:lineRule="exact"/>
        <w:jc w:val="both"/>
        <w:rPr>
          <w:rFonts w:eastAsiaTheme="minorEastAsia"/>
          <w:b/>
          <w:lang w:val="x-none"/>
        </w:rPr>
      </w:pPr>
    </w:p>
    <w:p w:rsidR="00617017" w:rsidRPr="001031B3" w:rsidRDefault="00617017" w:rsidP="00700E76">
      <w:pPr>
        <w:pStyle w:val="a"/>
        <w:numPr>
          <w:ilvl w:val="0"/>
          <w:numId w:val="5"/>
        </w:numPr>
        <w:tabs>
          <w:tab w:val="left" w:pos="567"/>
        </w:tabs>
        <w:spacing w:beforeLines="50" w:before="180" w:line="360" w:lineRule="exact"/>
        <w:ind w:left="482" w:hanging="482"/>
        <w:rPr>
          <w:rFonts w:eastAsiaTheme="minorEastAsia"/>
          <w:b/>
          <w:sz w:val="24"/>
          <w:szCs w:val="24"/>
          <w:shd w:val="pct15" w:color="auto" w:fill="FFFFFF"/>
        </w:rPr>
      </w:pPr>
      <w:r w:rsidRPr="001031B3">
        <w:rPr>
          <w:b/>
          <w:sz w:val="24"/>
          <w:szCs w:val="24"/>
        </w:rPr>
        <w:t>Related to transactions:</w:t>
      </w:r>
    </w:p>
    <w:p w:rsidR="00B343E2" w:rsidRPr="001031B3" w:rsidRDefault="00617017" w:rsidP="00700E76">
      <w:pPr>
        <w:pStyle w:val="a4"/>
        <w:numPr>
          <w:ilvl w:val="0"/>
          <w:numId w:val="12"/>
        </w:numPr>
        <w:tabs>
          <w:tab w:val="left" w:pos="567"/>
          <w:tab w:val="left" w:pos="709"/>
        </w:tabs>
        <w:snapToGrid w:val="0"/>
        <w:spacing w:line="360" w:lineRule="exact"/>
        <w:ind w:leftChars="0" w:left="482" w:hanging="482"/>
        <w:jc w:val="both"/>
        <w:rPr>
          <w:rFonts w:eastAsiaTheme="minorEastAsia"/>
          <w:b/>
        </w:rPr>
      </w:pPr>
      <w:r w:rsidRPr="001031B3">
        <w:rPr>
          <w:b/>
        </w:rPr>
        <w:t>Transactions/services - futures commission merchants</w:t>
      </w:r>
    </w:p>
    <w:p w:rsidR="00667E0E" w:rsidRPr="001031B3" w:rsidRDefault="00667E0E" w:rsidP="00700E76">
      <w:pPr>
        <w:pStyle w:val="a4"/>
        <w:numPr>
          <w:ilvl w:val="1"/>
          <w:numId w:val="12"/>
        </w:numPr>
        <w:tabs>
          <w:tab w:val="left" w:pos="851"/>
        </w:tabs>
        <w:snapToGrid w:val="0"/>
        <w:spacing w:line="360" w:lineRule="exact"/>
        <w:ind w:leftChars="0" w:left="766" w:hanging="482"/>
        <w:jc w:val="both"/>
        <w:rPr>
          <w:rFonts w:eastAsiaTheme="minorEastAsia"/>
          <w:b/>
        </w:rPr>
      </w:pPr>
      <w:r w:rsidRPr="001031B3">
        <w:t>Large-sum transaction domestic and foreign futures contracts, options contracts, or futures options contracts are established immediately after the account is opened.</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shd w:val="pct15" w:color="auto" w:fill="FFFFFF"/>
        </w:rPr>
      </w:pPr>
      <w:r w:rsidRPr="001031B3">
        <w:t xml:space="preserve">Large-sum transaction domestic and foreign futures contracts, options contracts, or futures options contracts are established immediately after the legal entity account is opened, and the transaction amount applied for is clearly incommensurate with its capital, operating revenue, or liquid cash, or the company has been established for only an extremely short period of time. </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engages in large-sum domestic or foreign futures contract, options contract, or futures options contract transactions.</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Large-sum transaction domestic and foreign futures contracts, options contracts, or futures options contracts are suddenly established under an account that has been dormant for more than one year.</w:t>
      </w:r>
    </w:p>
    <w:p w:rsidR="007C1F58"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uses an account opened collectively by company employees or members of a specific group to engage in large-sum and frequent transactions in domestic or foreign futures contracts, options contracts, or futures options contracts.</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engages in frequent transactions in inactive and low fluidity domestic or foreign futures contracts, options contracts, or futures options contracts.</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engages in frequent or substantial amounts of transactions in domestic or foreign futures contracts, options contracts, or futures options contracts at prices that are far higher or far lower than market prices.</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 xml:space="preserve">Multiple accounts are assigned to the same </w:t>
      </w:r>
      <w:r w:rsidR="001162EE" w:rsidRPr="001031B3">
        <w:t>person conducting</w:t>
      </w:r>
      <w:r w:rsidRPr="001031B3">
        <w:t xml:space="preserve"> transactions</w:t>
      </w:r>
      <w:r w:rsidR="001162EE" w:rsidRPr="001031B3">
        <w:t xml:space="preserve"> on behalf of others</w:t>
      </w:r>
      <w:r w:rsidRPr="001031B3">
        <w:t>.</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expresses interest in futures transactions but does not request related information for understanding product characteristics, security, risks, profitability, or professional information.</w:t>
      </w:r>
    </w:p>
    <w:p w:rsidR="007C1F58"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lastRenderedPageBreak/>
        <w:t>The customer engages in large consecutive transactions in specific domestic or foreign futures contracts, options contracts, or futures options contracts within a short period of time.</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engages in non-competitive bidding, and the trade price deviates significantly from the market price.</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uses dummy accounts or assigns a third party or the same customer account in different branches of the same futures commission merchants to perform transactions (laundering transactions) with the same amounts.</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 xml:space="preserve">The customer engages in large transactions but </w:t>
      </w:r>
      <w:r w:rsidR="00E1175A" w:rsidRPr="001031B3">
        <w:t xml:space="preserve">authentication </w:t>
      </w:r>
      <w:r w:rsidRPr="001031B3">
        <w:t>of its identity is difficult or has expired (e.g. foreign nationals, tourists, and customers who do not reside in the country).</w:t>
      </w:r>
    </w:p>
    <w:p w:rsidR="00544186" w:rsidRPr="001031B3" w:rsidRDefault="00544186"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 xml:space="preserve">Multiple accounts of persons other than the customer, or persons </w:t>
      </w:r>
      <w:r w:rsidR="001162EE" w:rsidRPr="001031B3">
        <w:t>acting on behalf of a customer</w:t>
      </w:r>
      <w:r w:rsidRPr="001031B3">
        <w:t>, are used to disperse large transactions.</w:t>
      </w:r>
    </w:p>
    <w:p w:rsidR="00544186" w:rsidRPr="001031B3" w:rsidRDefault="00544186"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trader engages in frequent or large transactions for products that can be physically delivered (e.g. raw materials, precious metals etc.) and requests the delivery of physical products before the expiry of the contract, resulting in suspicious circumstances in the purpose and motive of transactions that the merchant’s personnel consider to be suspicious.</w:t>
      </w:r>
    </w:p>
    <w:p w:rsidR="00152AF1" w:rsidRPr="001031B3" w:rsidRDefault="002C0A36"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trading counterparty is a terrorist or terrorist group as advised by the FSC based on information provided by foreign governments, or a terrorist organization identified or investigated by an international organization against money laundering; or there is suspicion or reasonable grounds to suspect that the funds for a transaction are linked with terrorist activity, terrorist organizations, or financing of terrorism.</w:t>
      </w:r>
    </w:p>
    <w:p w:rsidR="003818DC" w:rsidRPr="001031B3" w:rsidRDefault="003818DC"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When an individual implicated in a special or material case reported in media such as television, newspapers, magazines, or the Internet engages in transactions at the futures commission merchant and the transactions are obviously unusual.</w:t>
      </w:r>
    </w:p>
    <w:p w:rsidR="00617520" w:rsidRPr="001031B3" w:rsidRDefault="00DE15CD"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Any other obviously unusual transactions or suspicious circumstances that come to the attention of the merchant’s personnel, regardless of transaction amounts or whether the transactions have been completed.</w:t>
      </w:r>
    </w:p>
    <w:p w:rsidR="00617520" w:rsidRPr="001031B3" w:rsidRDefault="00617520" w:rsidP="00700E76">
      <w:pPr>
        <w:pStyle w:val="a4"/>
        <w:numPr>
          <w:ilvl w:val="0"/>
          <w:numId w:val="12"/>
        </w:numPr>
        <w:tabs>
          <w:tab w:val="left" w:pos="567"/>
          <w:tab w:val="left" w:pos="709"/>
        </w:tabs>
        <w:snapToGrid w:val="0"/>
        <w:spacing w:line="360" w:lineRule="exact"/>
        <w:ind w:leftChars="0" w:left="482" w:hanging="482"/>
        <w:jc w:val="both"/>
        <w:rPr>
          <w:rFonts w:eastAsiaTheme="minorEastAsia"/>
          <w:b/>
        </w:rPr>
      </w:pPr>
      <w:r w:rsidRPr="001031B3">
        <w:rPr>
          <w:b/>
        </w:rPr>
        <w:t>Transactions/services - leverage transaction merchants</w:t>
      </w:r>
    </w:p>
    <w:p w:rsidR="00617520" w:rsidRPr="001031B3" w:rsidRDefault="00EE5639"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 xml:space="preserve">The legal entity customer engages in large-sum transactions that are clearly incommensurate with its capital, operating revenue, or liquid cash, or the </w:t>
      </w:r>
      <w:r w:rsidRPr="001031B3">
        <w:lastRenderedPageBreak/>
        <w:t>company has been established for only an extremely short period of time.</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engages in large-sum transactions.</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expresses interest in products but does not request related information for understanding product characteristics, security, risks, profitability, or professional information.</w:t>
      </w:r>
    </w:p>
    <w:p w:rsidR="00617017"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uses company employees or members of a specific group to sign contracts collectively and engages in large and frequent transactions.</w:t>
      </w:r>
    </w:p>
    <w:p w:rsidR="003818DC" w:rsidRPr="001031B3" w:rsidRDefault="00617017"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The customer engages in frequent and large transactions in products that are inconsistent with the customer's own needs.</w:t>
      </w:r>
    </w:p>
    <w:p w:rsidR="00617017" w:rsidRPr="001031B3" w:rsidRDefault="003818DC"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When an individual implicated in a special or material case reported in media such as television, newspapers, magazines, or the Internet engages in transactions at the leverage transaction merchant and the transactions are obviously unusual.</w:t>
      </w:r>
    </w:p>
    <w:p w:rsidR="00A22518" w:rsidRPr="001031B3" w:rsidRDefault="00A22518" w:rsidP="00700E76">
      <w:pPr>
        <w:pStyle w:val="a4"/>
        <w:numPr>
          <w:ilvl w:val="1"/>
          <w:numId w:val="12"/>
        </w:numPr>
        <w:tabs>
          <w:tab w:val="left" w:pos="851"/>
        </w:tabs>
        <w:snapToGrid w:val="0"/>
        <w:spacing w:line="360" w:lineRule="exact"/>
        <w:ind w:leftChars="0" w:left="766" w:hanging="482"/>
        <w:jc w:val="both"/>
        <w:rPr>
          <w:rFonts w:eastAsiaTheme="minorEastAsia"/>
        </w:rPr>
      </w:pPr>
      <w:r w:rsidRPr="001031B3">
        <w:t>Any other obviously unusual transactions or suspicious circumstances that come to the attention of the merchant’s personnel, regardless of transaction amounts or whether the transactions have been completed.</w:t>
      </w:r>
    </w:p>
    <w:p w:rsidR="00614CEB" w:rsidRPr="001031B3" w:rsidRDefault="00614CEB" w:rsidP="00700E76">
      <w:pPr>
        <w:pStyle w:val="a"/>
        <w:numPr>
          <w:ilvl w:val="0"/>
          <w:numId w:val="5"/>
        </w:numPr>
        <w:tabs>
          <w:tab w:val="left" w:pos="567"/>
        </w:tabs>
        <w:spacing w:beforeLines="50" w:before="180" w:line="360" w:lineRule="exact"/>
        <w:ind w:left="482" w:hanging="482"/>
        <w:rPr>
          <w:rFonts w:eastAsiaTheme="minorEastAsia"/>
          <w:b/>
          <w:sz w:val="24"/>
          <w:szCs w:val="24"/>
          <w:shd w:val="pct15" w:color="auto" w:fill="FFFFFF"/>
        </w:rPr>
      </w:pPr>
      <w:r w:rsidRPr="001031B3">
        <w:rPr>
          <w:b/>
          <w:sz w:val="24"/>
          <w:szCs w:val="24"/>
        </w:rPr>
        <w:t>Related to payment/remittances:</w:t>
      </w:r>
    </w:p>
    <w:p w:rsidR="00DE15CD" w:rsidRPr="001031B3" w:rsidRDefault="00DE15CD" w:rsidP="00700E76">
      <w:pPr>
        <w:pStyle w:val="a4"/>
        <w:numPr>
          <w:ilvl w:val="2"/>
          <w:numId w:val="5"/>
        </w:numPr>
        <w:spacing w:line="360" w:lineRule="exact"/>
        <w:ind w:leftChars="0" w:left="720"/>
        <w:jc w:val="both"/>
        <w:rPr>
          <w:rFonts w:eastAsiaTheme="minorEastAsia"/>
        </w:rPr>
      </w:pPr>
      <w:r w:rsidRPr="001031B3">
        <w:t>The customer's designated bank account for payment and collection is located in a country or region with high money laundering or terrorism financing risks, or a country or region with high tax avoidance risks or strict financial confidentiality, as advised by international AML organizations.</w:t>
      </w:r>
    </w:p>
    <w:p w:rsidR="00DE15CD" w:rsidRPr="001031B3" w:rsidRDefault="00DE15CD" w:rsidP="00700E76">
      <w:pPr>
        <w:pStyle w:val="a4"/>
        <w:numPr>
          <w:ilvl w:val="2"/>
          <w:numId w:val="5"/>
        </w:numPr>
        <w:spacing w:line="360" w:lineRule="exact"/>
        <w:ind w:leftChars="0" w:left="720"/>
        <w:jc w:val="both"/>
        <w:rPr>
          <w:rFonts w:eastAsiaTheme="minorEastAsia"/>
        </w:rPr>
      </w:pPr>
      <w:r w:rsidRPr="001031B3">
        <w:t>Deposits or premiums are wired come from a country or region with high money laundering or terrorism financing risk, or a country or region with high tax avoidance risks or strict financial confidentiality, as advised by international AML organizations.</w:t>
      </w:r>
    </w:p>
    <w:p w:rsidR="00617520" w:rsidRPr="001031B3" w:rsidRDefault="00DE15CD" w:rsidP="00700E76">
      <w:pPr>
        <w:pStyle w:val="a4"/>
        <w:numPr>
          <w:ilvl w:val="2"/>
          <w:numId w:val="5"/>
        </w:numPr>
        <w:spacing w:line="360" w:lineRule="exact"/>
        <w:ind w:leftChars="0" w:left="720"/>
        <w:jc w:val="both"/>
        <w:rPr>
          <w:rFonts w:eastAsiaTheme="minorEastAsia"/>
        </w:rPr>
      </w:pPr>
      <w:r w:rsidRPr="001031B3">
        <w:t>The customer immediately deposits transaction deposits or premiums that exceed a specific amount immediately after the account is opened or the contract is signed, or frequently deposits multiple deposits or premiums and immediately transfers the funds.</w:t>
      </w:r>
    </w:p>
    <w:p w:rsidR="00DE15CD" w:rsidRPr="001031B3" w:rsidRDefault="00DE15CD" w:rsidP="00700E76">
      <w:pPr>
        <w:pStyle w:val="a4"/>
        <w:numPr>
          <w:ilvl w:val="2"/>
          <w:numId w:val="5"/>
        </w:numPr>
        <w:spacing w:line="360" w:lineRule="exact"/>
        <w:ind w:leftChars="0" w:left="720"/>
        <w:jc w:val="both"/>
        <w:rPr>
          <w:rFonts w:eastAsiaTheme="minorEastAsia"/>
        </w:rPr>
      </w:pPr>
      <w:r w:rsidRPr="001031B3">
        <w:t>An account that has been dormant for over a year is suddenly engaging in deposits or withdrawals exceeding a specific amount, or frequent, multiple deposits or premiums are deposited and funds are immediately transferred.</w:t>
      </w:r>
    </w:p>
    <w:p w:rsidR="00DE15CD" w:rsidRPr="001031B3" w:rsidRDefault="00DE15CD" w:rsidP="00700E76">
      <w:pPr>
        <w:pStyle w:val="a4"/>
        <w:numPr>
          <w:ilvl w:val="2"/>
          <w:numId w:val="5"/>
        </w:numPr>
        <w:spacing w:line="360" w:lineRule="exact"/>
        <w:ind w:leftChars="0" w:left="720"/>
        <w:jc w:val="both"/>
        <w:rPr>
          <w:rFonts w:eastAsiaTheme="minorEastAsia"/>
        </w:rPr>
      </w:pPr>
      <w:r w:rsidRPr="001031B3">
        <w:t>Frequent deposits and withdrawals of deposits or premiums between multiple designated accounts of the same trader that exceed a specific amount.</w:t>
      </w:r>
    </w:p>
    <w:p w:rsidR="007C1F58" w:rsidRPr="001031B3" w:rsidRDefault="007C1F58" w:rsidP="00700E76">
      <w:pPr>
        <w:pStyle w:val="a4"/>
        <w:numPr>
          <w:ilvl w:val="2"/>
          <w:numId w:val="5"/>
        </w:numPr>
        <w:spacing w:line="360" w:lineRule="exact"/>
        <w:ind w:leftChars="0" w:left="720"/>
        <w:jc w:val="both"/>
        <w:rPr>
          <w:rFonts w:asciiTheme="minorEastAsia" w:eastAsiaTheme="minorEastAsia" w:hAnsiTheme="minorEastAsia"/>
        </w:rPr>
      </w:pPr>
      <w:r w:rsidRPr="001031B3">
        <w:t>The futures commission merchant serves as a distributor or co-marketer of a futures trust fund(s), and discovers that the trader is rapidly transferring large amounts of funds among various financial instruments in an obviously unusual manner.</w:t>
      </w:r>
    </w:p>
    <w:sectPr w:rsidR="007C1F58" w:rsidRPr="001031B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5B" w:rsidRDefault="00A0395B" w:rsidP="003648D7">
      <w:r>
        <w:separator/>
      </w:r>
    </w:p>
  </w:endnote>
  <w:endnote w:type="continuationSeparator" w:id="0">
    <w:p w:rsidR="00A0395B" w:rsidRDefault="00A0395B" w:rsidP="0036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1272"/>
      <w:docPartObj>
        <w:docPartGallery w:val="Page Numbers (Bottom of Page)"/>
        <w:docPartUnique/>
      </w:docPartObj>
    </w:sdtPr>
    <w:sdtEndPr/>
    <w:sdtContent>
      <w:p w:rsidR="000D3744" w:rsidRDefault="000D3744">
        <w:pPr>
          <w:pStyle w:val="a7"/>
          <w:jc w:val="center"/>
        </w:pPr>
        <w:r>
          <w:fldChar w:fldCharType="begin"/>
        </w:r>
        <w:r>
          <w:instrText>PAGE   \* MERGEFORMAT</w:instrText>
        </w:r>
        <w:r>
          <w:fldChar w:fldCharType="separate"/>
        </w:r>
        <w:r w:rsidR="00DF1B86">
          <w:rPr>
            <w:noProof/>
          </w:rPr>
          <w:t>1</w:t>
        </w:r>
        <w:r>
          <w:fldChar w:fldCharType="end"/>
        </w:r>
      </w:p>
    </w:sdtContent>
  </w:sdt>
  <w:p w:rsidR="000D3744" w:rsidRDefault="000D37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5B" w:rsidRDefault="00A0395B" w:rsidP="003648D7">
      <w:r>
        <w:separator/>
      </w:r>
    </w:p>
  </w:footnote>
  <w:footnote w:type="continuationSeparator" w:id="0">
    <w:p w:rsidR="00A0395B" w:rsidRDefault="00A0395B" w:rsidP="0036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DE5"/>
    <w:multiLevelType w:val="hybridMultilevel"/>
    <w:tmpl w:val="8C04E804"/>
    <w:lvl w:ilvl="0" w:tplc="A184B0A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757A00"/>
    <w:multiLevelType w:val="hybridMultilevel"/>
    <w:tmpl w:val="F498200A"/>
    <w:lvl w:ilvl="0" w:tplc="937CA2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8A12BE"/>
    <w:multiLevelType w:val="hybridMultilevel"/>
    <w:tmpl w:val="76D8D8AE"/>
    <w:lvl w:ilvl="0" w:tplc="0409000F">
      <w:start w:val="1"/>
      <w:numFmt w:val="decimal"/>
      <w:lvlText w:val="%1."/>
      <w:lvlJc w:val="left"/>
      <w:pPr>
        <w:ind w:left="1065" w:hanging="480"/>
      </w:pPr>
    </w:lvl>
    <w:lvl w:ilvl="1" w:tplc="04090019">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 w15:restartNumberingAfterBreak="0">
    <w:nsid w:val="2C7B2C63"/>
    <w:multiLevelType w:val="hybridMultilevel"/>
    <w:tmpl w:val="69021026"/>
    <w:lvl w:ilvl="0" w:tplc="965E0C38">
      <w:start w:val="1"/>
      <w:numFmt w:val="upperRoman"/>
      <w:lvlText w:val="(%1)"/>
      <w:lvlJc w:val="left"/>
      <w:pPr>
        <w:ind w:left="1440" w:hanging="480"/>
      </w:pPr>
      <w:rPr>
        <w:rFonts w:hint="default"/>
        <w:strike w:val="0"/>
      </w:rPr>
    </w:lvl>
    <w:lvl w:ilvl="1" w:tplc="0409000F">
      <w:start w:val="1"/>
      <w:numFmt w:val="decimal"/>
      <w:lvlText w:val="%2."/>
      <w:lvlJc w:val="left"/>
      <w:pPr>
        <w:ind w:left="1331"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077402"/>
    <w:multiLevelType w:val="multilevel"/>
    <w:tmpl w:val="9B14FC24"/>
    <w:lvl w:ilvl="0">
      <w:start w:val="1"/>
      <w:numFmt w:val="taiwaneseCountingThousand"/>
      <w:pStyle w:val="a"/>
      <w:suff w:val="nothing"/>
      <w:lvlText w:val="%1、"/>
      <w:lvlJc w:val="left"/>
      <w:pPr>
        <w:ind w:left="652" w:hanging="652"/>
      </w:pPr>
      <w:rPr>
        <w:rFonts w:ascii="標楷體" w:eastAsia="標楷體" w:hint="eastAsia"/>
        <w:b w:val="0"/>
        <w:i w:val="0"/>
        <w:sz w:val="32"/>
        <w:lang w:val="en-US"/>
      </w:rPr>
    </w:lvl>
    <w:lvl w:ilvl="1">
      <w:start w:val="1"/>
      <w:numFmt w:val="taiwaneseCountingThousand"/>
      <w:suff w:val="nothing"/>
      <w:lvlText w:val="(%2)"/>
      <w:lvlJc w:val="left"/>
      <w:pPr>
        <w:ind w:left="1252" w:hanging="652"/>
      </w:pPr>
      <w:rPr>
        <w:rFonts w:ascii="標楷體" w:eastAsia="標楷體" w:hint="eastAsia"/>
        <w:b w:val="0"/>
        <w:i w:val="0"/>
        <w:sz w:val="32"/>
      </w:rPr>
    </w:lvl>
    <w:lvl w:ilvl="2">
      <w:start w:val="1"/>
      <w:numFmt w:val="decimalFullWidth"/>
      <w:suff w:val="nothing"/>
      <w:lvlText w:val="%3、"/>
      <w:lvlJc w:val="left"/>
      <w:pPr>
        <w:ind w:left="2059"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31DA4520"/>
    <w:multiLevelType w:val="hybridMultilevel"/>
    <w:tmpl w:val="351E20E6"/>
    <w:lvl w:ilvl="0" w:tplc="0BD082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0F67F1"/>
    <w:multiLevelType w:val="hybridMultilevel"/>
    <w:tmpl w:val="15B8B660"/>
    <w:lvl w:ilvl="0" w:tplc="7742B5B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15:restartNumberingAfterBreak="0">
    <w:nsid w:val="5B10419D"/>
    <w:multiLevelType w:val="hybridMultilevel"/>
    <w:tmpl w:val="34785A7A"/>
    <w:lvl w:ilvl="0" w:tplc="2D403FFC">
      <w:start w:val="1"/>
      <w:numFmt w:val="taiwaneseCountingThousand"/>
      <w:lvlText w:val="(%1)"/>
      <w:lvlJc w:val="left"/>
      <w:pPr>
        <w:ind w:left="1305" w:hanging="72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8" w15:restartNumberingAfterBreak="0">
    <w:nsid w:val="5DAF5F7F"/>
    <w:multiLevelType w:val="hybridMultilevel"/>
    <w:tmpl w:val="C9B0D802"/>
    <w:lvl w:ilvl="0" w:tplc="04090013">
      <w:start w:val="1"/>
      <w:numFmt w:val="upperRoman"/>
      <w:lvlText w:val="%1."/>
      <w:lvlJc w:val="left"/>
      <w:pPr>
        <w:ind w:left="480" w:hanging="480"/>
      </w:pPr>
      <w:rPr>
        <w:sz w:val="28"/>
        <w:szCs w:val="28"/>
        <w:lang w:val="en-US"/>
      </w:rPr>
    </w:lvl>
    <w:lvl w:ilvl="1" w:tplc="75C68FE8">
      <w:start w:val="1"/>
      <w:numFmt w:val="decimal"/>
      <w:lvlText w:val="%2、"/>
      <w:lvlJc w:val="left"/>
      <w:pPr>
        <w:ind w:left="1200" w:hanging="720"/>
      </w:pPr>
      <w:rPr>
        <w:rFonts w:hint="default"/>
      </w:rPr>
    </w:lvl>
    <w:lvl w:ilvl="2" w:tplc="86A61E8C">
      <w:start w:val="1"/>
      <w:numFmt w:val="upperRoman"/>
      <w:lvlText w:val="(%3)"/>
      <w:lvlJc w:val="left"/>
      <w:pPr>
        <w:ind w:left="1680" w:hanging="720"/>
      </w:pPr>
      <w:rPr>
        <w:rFonts w:ascii="Times New Roman" w:hAnsi="Times New Roman" w:cs="Times New Roman" w:hint="default"/>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031D9A"/>
    <w:multiLevelType w:val="hybridMultilevel"/>
    <w:tmpl w:val="36E661D0"/>
    <w:lvl w:ilvl="0" w:tplc="6C987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014A1A"/>
    <w:multiLevelType w:val="hybridMultilevel"/>
    <w:tmpl w:val="FEDA8D3C"/>
    <w:lvl w:ilvl="0" w:tplc="236A18E8">
      <w:start w:val="1"/>
      <w:numFmt w:val="taiwaneseCountingThousand"/>
      <w:lvlText w:val="（%1）"/>
      <w:lvlJc w:val="left"/>
      <w:pPr>
        <w:ind w:left="48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2B3822"/>
    <w:multiLevelType w:val="hybridMultilevel"/>
    <w:tmpl w:val="6BDAFFB4"/>
    <w:lvl w:ilvl="0" w:tplc="13C49AF4">
      <w:start w:val="1"/>
      <w:numFmt w:val="taiwaneseCountingThousand"/>
      <w:lvlText w:val="（%1）"/>
      <w:lvlJc w:val="left"/>
      <w:pPr>
        <w:ind w:left="480" w:hanging="480"/>
      </w:pPr>
      <w:rPr>
        <w:rFonts w:hint="default"/>
        <w:u w:val="none"/>
        <w:lang w:val="en-US"/>
      </w:rPr>
    </w:lvl>
    <w:lvl w:ilvl="1" w:tplc="04090019" w:tentative="1">
      <w:start w:val="1"/>
      <w:numFmt w:val="ideographTraditional"/>
      <w:lvlText w:val="%2、"/>
      <w:lvlJc w:val="left"/>
      <w:pPr>
        <w:ind w:left="960" w:hanging="480"/>
      </w:pPr>
    </w:lvl>
    <w:lvl w:ilvl="2" w:tplc="965E0C38">
      <w:start w:val="1"/>
      <w:numFmt w:val="upperRoman"/>
      <w:lvlText w:val="(%3)"/>
      <w:lvlJc w:val="left"/>
      <w:pPr>
        <w:ind w:left="1440" w:hanging="480"/>
      </w:pPr>
      <w:rPr>
        <w:rFonts w:hint="default"/>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6"/>
  </w:num>
  <w:num w:numId="4">
    <w:abstractNumId w:val="0"/>
  </w:num>
  <w:num w:numId="5">
    <w:abstractNumId w:val="8"/>
  </w:num>
  <w:num w:numId="6">
    <w:abstractNumId w:val="9"/>
  </w:num>
  <w:num w:numId="7">
    <w:abstractNumId w:val="10"/>
  </w:num>
  <w:num w:numId="8">
    <w:abstractNumId w:val="2"/>
  </w:num>
  <w:num w:numId="9">
    <w:abstractNumId w:val="4"/>
  </w:num>
  <w:num w:numId="10">
    <w:abstractNumId w:val="11"/>
  </w:num>
  <w:num w:numId="11">
    <w:abstractNumId w:val="4"/>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17"/>
    <w:rsid w:val="00020DF8"/>
    <w:rsid w:val="00026540"/>
    <w:rsid w:val="00055A7B"/>
    <w:rsid w:val="000568C7"/>
    <w:rsid w:val="000A4606"/>
    <w:rsid w:val="000D3744"/>
    <w:rsid w:val="000D5611"/>
    <w:rsid w:val="001031B3"/>
    <w:rsid w:val="001162EE"/>
    <w:rsid w:val="00152AF1"/>
    <w:rsid w:val="001A4903"/>
    <w:rsid w:val="001B1E0B"/>
    <w:rsid w:val="00212CF9"/>
    <w:rsid w:val="00227E35"/>
    <w:rsid w:val="002402BD"/>
    <w:rsid w:val="002602EC"/>
    <w:rsid w:val="00266930"/>
    <w:rsid w:val="002740E3"/>
    <w:rsid w:val="00284C51"/>
    <w:rsid w:val="002C0A36"/>
    <w:rsid w:val="002D171B"/>
    <w:rsid w:val="003305B0"/>
    <w:rsid w:val="00336B5A"/>
    <w:rsid w:val="00356142"/>
    <w:rsid w:val="003648D7"/>
    <w:rsid w:val="003818DC"/>
    <w:rsid w:val="003911E5"/>
    <w:rsid w:val="003D2C5A"/>
    <w:rsid w:val="004E5A34"/>
    <w:rsid w:val="00531A1E"/>
    <w:rsid w:val="00532910"/>
    <w:rsid w:val="00544186"/>
    <w:rsid w:val="00614CEB"/>
    <w:rsid w:val="00617017"/>
    <w:rsid w:val="00617520"/>
    <w:rsid w:val="00654362"/>
    <w:rsid w:val="00667E0E"/>
    <w:rsid w:val="006B60A6"/>
    <w:rsid w:val="006E5B4F"/>
    <w:rsid w:val="00700E76"/>
    <w:rsid w:val="007109F6"/>
    <w:rsid w:val="00786582"/>
    <w:rsid w:val="007C1F58"/>
    <w:rsid w:val="007F4259"/>
    <w:rsid w:val="0090591E"/>
    <w:rsid w:val="009A0890"/>
    <w:rsid w:val="009E63BE"/>
    <w:rsid w:val="009E76A8"/>
    <w:rsid w:val="00A0395B"/>
    <w:rsid w:val="00A062C3"/>
    <w:rsid w:val="00A20E88"/>
    <w:rsid w:val="00A22518"/>
    <w:rsid w:val="00A47F55"/>
    <w:rsid w:val="00A7370E"/>
    <w:rsid w:val="00B343E2"/>
    <w:rsid w:val="00B40AFC"/>
    <w:rsid w:val="00C37631"/>
    <w:rsid w:val="00C841BF"/>
    <w:rsid w:val="00CA7015"/>
    <w:rsid w:val="00D06AA7"/>
    <w:rsid w:val="00DB7C5B"/>
    <w:rsid w:val="00DC6806"/>
    <w:rsid w:val="00DE15CD"/>
    <w:rsid w:val="00DF1B86"/>
    <w:rsid w:val="00E1175A"/>
    <w:rsid w:val="00E14F43"/>
    <w:rsid w:val="00E20A27"/>
    <w:rsid w:val="00E931EA"/>
    <w:rsid w:val="00E9357B"/>
    <w:rsid w:val="00EE5639"/>
    <w:rsid w:val="00F04F1F"/>
    <w:rsid w:val="00F726DE"/>
    <w:rsid w:val="00FA09D0"/>
    <w:rsid w:val="00FD70A5"/>
    <w:rsid w:val="00FE6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8A0D3C-B7AE-45F5-91DA-FD20E2F5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701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17017"/>
    <w:pPr>
      <w:ind w:leftChars="200" w:left="480"/>
    </w:pPr>
  </w:style>
  <w:style w:type="paragraph" w:styleId="a5">
    <w:name w:val="header"/>
    <w:basedOn w:val="a0"/>
    <w:link w:val="a6"/>
    <w:uiPriority w:val="99"/>
    <w:unhideWhenUsed/>
    <w:rsid w:val="003648D7"/>
    <w:pPr>
      <w:tabs>
        <w:tab w:val="center" w:pos="4153"/>
        <w:tab w:val="right" w:pos="8306"/>
      </w:tabs>
      <w:snapToGrid w:val="0"/>
    </w:pPr>
    <w:rPr>
      <w:sz w:val="20"/>
      <w:szCs w:val="20"/>
    </w:rPr>
  </w:style>
  <w:style w:type="character" w:customStyle="1" w:styleId="a6">
    <w:name w:val="頁首 字元"/>
    <w:basedOn w:val="a1"/>
    <w:link w:val="a5"/>
    <w:uiPriority w:val="99"/>
    <w:rsid w:val="003648D7"/>
    <w:rPr>
      <w:rFonts w:ascii="Times New Roman" w:eastAsia="新細明體" w:hAnsi="Times New Roman" w:cs="Times New Roman"/>
      <w:sz w:val="20"/>
      <w:szCs w:val="20"/>
    </w:rPr>
  </w:style>
  <w:style w:type="paragraph" w:styleId="a7">
    <w:name w:val="footer"/>
    <w:basedOn w:val="a0"/>
    <w:link w:val="a8"/>
    <w:uiPriority w:val="99"/>
    <w:unhideWhenUsed/>
    <w:rsid w:val="003648D7"/>
    <w:pPr>
      <w:tabs>
        <w:tab w:val="center" w:pos="4153"/>
        <w:tab w:val="right" w:pos="8306"/>
      </w:tabs>
      <w:snapToGrid w:val="0"/>
    </w:pPr>
    <w:rPr>
      <w:sz w:val="20"/>
      <w:szCs w:val="20"/>
    </w:rPr>
  </w:style>
  <w:style w:type="character" w:customStyle="1" w:styleId="a8">
    <w:name w:val="頁尾 字元"/>
    <w:basedOn w:val="a1"/>
    <w:link w:val="a7"/>
    <w:uiPriority w:val="99"/>
    <w:rsid w:val="003648D7"/>
    <w:rPr>
      <w:rFonts w:ascii="Times New Roman" w:eastAsia="新細明體" w:hAnsi="Times New Roman" w:cs="Times New Roman"/>
      <w:sz w:val="20"/>
      <w:szCs w:val="20"/>
    </w:rPr>
  </w:style>
  <w:style w:type="paragraph" w:customStyle="1" w:styleId="a">
    <w:name w:val="分項段落"/>
    <w:basedOn w:val="a0"/>
    <w:rsid w:val="001B1E0B"/>
    <w:pPr>
      <w:numPr>
        <w:numId w:val="9"/>
      </w:numPr>
      <w:snapToGrid w:val="0"/>
    </w:pPr>
    <w:rPr>
      <w:rFonts w:eastAsia="標楷體"/>
      <w:sz w:val="32"/>
      <w:szCs w:val="20"/>
    </w:rPr>
  </w:style>
  <w:style w:type="paragraph" w:styleId="a9">
    <w:name w:val="Balloon Text"/>
    <w:basedOn w:val="a0"/>
    <w:link w:val="aa"/>
    <w:uiPriority w:val="99"/>
    <w:semiHidden/>
    <w:unhideWhenUsed/>
    <w:rsid w:val="00532910"/>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53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B41A-ACFB-4D62-8200-482A1023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陳怡真</dc:creator>
  <cp:lastModifiedBy>翁淑如</cp:lastModifiedBy>
  <cp:revision>2</cp:revision>
  <cp:lastPrinted>2018-03-07T08:43:00Z</cp:lastPrinted>
  <dcterms:created xsi:type="dcterms:W3CDTF">2018-06-12T06:20:00Z</dcterms:created>
  <dcterms:modified xsi:type="dcterms:W3CDTF">2018-06-12T06:20:00Z</dcterms:modified>
</cp:coreProperties>
</file>